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D7AC6" w:rsidRPr="00FD7AC6" w:rsidRDefault="00FD7AC6" w:rsidP="00FD7AC6">
      <w:pPr>
        <w:shd w:val="clear" w:color="auto" w:fill="000066"/>
        <w:spacing w:after="72" w:line="300" w:lineRule="atLeast"/>
        <w:rPr>
          <w:rFonts w:ascii="Arial" w:eastAsia="Times New Roman" w:hAnsi="Arial" w:cs="Arial"/>
          <w:color w:val="FFFFFF" w:themeColor="background1"/>
          <w:sz w:val="27"/>
          <w:szCs w:val="27"/>
        </w:rPr>
      </w:pPr>
      <w:r w:rsidRPr="00FD7AC6">
        <w:rPr>
          <w:rFonts w:ascii="Arial" w:eastAsia="Times New Roman" w:hAnsi="Arial" w:cs="Arial"/>
          <w:color w:val="FFFFFF" w:themeColor="background1"/>
          <w:sz w:val="27"/>
          <w:szCs w:val="27"/>
        </w:rPr>
        <w:t>Introduction</w:t>
      </w:r>
    </w:p>
    <w:p w:rsidR="00FD7AC6" w:rsidRPr="00FD7AC6" w:rsidRDefault="00654462" w:rsidP="00FD7AC6">
      <w:pPr>
        <w:numPr>
          <w:ilvl w:val="0"/>
          <w:numId w:val="1"/>
        </w:numPr>
        <w:shd w:val="clear" w:color="auto" w:fill="000066"/>
        <w:spacing w:after="120" w:line="300" w:lineRule="atLeast"/>
        <w:ind w:left="0"/>
        <w:rPr>
          <w:rFonts w:ascii="Helvetica" w:eastAsia="Times New Roman" w:hAnsi="Helvetica" w:cs="Times New Roman"/>
          <w:color w:val="FFFFFF" w:themeColor="background1"/>
          <w:sz w:val="21"/>
          <w:szCs w:val="21"/>
        </w:rPr>
      </w:pPr>
      <w:hyperlink r:id="rId7" w:history="1">
        <w:r w:rsidR="00FD7AC6" w:rsidRPr="00FD7AC6">
          <w:rPr>
            <w:rFonts w:ascii="Arial" w:eastAsia="Times New Roman" w:hAnsi="Arial" w:cs="Arial"/>
            <w:color w:val="FFFFFF" w:themeColor="background1"/>
            <w:sz w:val="21"/>
            <w:szCs w:val="21"/>
            <w:u w:val="single"/>
          </w:rPr>
          <w:t>Purpose of this document</w:t>
        </w:r>
      </w:hyperlink>
    </w:p>
    <w:p w:rsidR="00FD7AC6" w:rsidRPr="00FD7AC6" w:rsidRDefault="00654462" w:rsidP="00FD7AC6">
      <w:pPr>
        <w:numPr>
          <w:ilvl w:val="0"/>
          <w:numId w:val="1"/>
        </w:numPr>
        <w:shd w:val="clear" w:color="auto" w:fill="000066"/>
        <w:spacing w:after="120" w:line="300" w:lineRule="atLeast"/>
        <w:ind w:left="0"/>
        <w:rPr>
          <w:rFonts w:ascii="Helvetica" w:eastAsia="Times New Roman" w:hAnsi="Helvetica" w:cs="Times New Roman"/>
          <w:color w:val="FFFFFF" w:themeColor="background1"/>
          <w:sz w:val="21"/>
          <w:szCs w:val="21"/>
        </w:rPr>
      </w:pPr>
      <w:hyperlink r:id="rId8" w:history="1">
        <w:r w:rsidR="00FD7AC6" w:rsidRPr="00FD7AC6">
          <w:rPr>
            <w:rFonts w:ascii="Arial" w:eastAsia="Times New Roman" w:hAnsi="Arial" w:cs="Arial"/>
            <w:color w:val="FFFFFF" w:themeColor="background1"/>
            <w:sz w:val="21"/>
            <w:szCs w:val="21"/>
            <w:u w:val="single"/>
          </w:rPr>
          <w:t>The Diploma Programme</w:t>
        </w:r>
      </w:hyperlink>
      <w:r w:rsidR="00F87A87">
        <w:rPr>
          <w:rFonts w:ascii="Arial" w:eastAsia="Times New Roman" w:hAnsi="Arial" w:cs="Arial"/>
          <w:color w:val="FFFFFF" w:themeColor="background1"/>
          <w:sz w:val="21"/>
          <w:szCs w:val="21"/>
          <w:u w:val="single"/>
        </w:rPr>
        <w:t xml:space="preserve"> </w:t>
      </w:r>
      <w:bookmarkStart w:id="0" w:name="_GoBack"/>
      <w:bookmarkEnd w:id="0"/>
    </w:p>
    <w:p w:rsidR="00FD7AC6" w:rsidRPr="00FD7AC6" w:rsidRDefault="00654462" w:rsidP="00FD7AC6">
      <w:pPr>
        <w:numPr>
          <w:ilvl w:val="0"/>
          <w:numId w:val="1"/>
        </w:numPr>
        <w:shd w:val="clear" w:color="auto" w:fill="000066"/>
        <w:spacing w:after="120" w:line="300" w:lineRule="atLeast"/>
        <w:ind w:left="0"/>
        <w:rPr>
          <w:rFonts w:ascii="Helvetica" w:eastAsia="Times New Roman" w:hAnsi="Helvetica" w:cs="Times New Roman"/>
          <w:color w:val="FFFFFF" w:themeColor="background1"/>
          <w:sz w:val="21"/>
          <w:szCs w:val="21"/>
        </w:rPr>
      </w:pPr>
      <w:hyperlink r:id="rId9" w:history="1">
        <w:r w:rsidR="00FD7AC6" w:rsidRPr="00FD7AC6">
          <w:rPr>
            <w:rFonts w:ascii="Arial" w:eastAsia="Times New Roman" w:hAnsi="Arial" w:cs="Arial"/>
            <w:color w:val="FFFFFF" w:themeColor="background1"/>
            <w:sz w:val="21"/>
            <w:szCs w:val="21"/>
            <w:u w:val="single"/>
          </w:rPr>
          <w:t>Nature of the subject</w:t>
        </w:r>
      </w:hyperlink>
    </w:p>
    <w:p w:rsidR="00FD7AC6" w:rsidRPr="00FD7AC6" w:rsidRDefault="00654462" w:rsidP="00FD7AC6">
      <w:pPr>
        <w:numPr>
          <w:ilvl w:val="0"/>
          <w:numId w:val="1"/>
        </w:numPr>
        <w:shd w:val="clear" w:color="auto" w:fill="000066"/>
        <w:spacing w:after="120" w:line="300" w:lineRule="atLeast"/>
        <w:ind w:left="0"/>
        <w:rPr>
          <w:rFonts w:ascii="Helvetica" w:eastAsia="Times New Roman" w:hAnsi="Helvetica" w:cs="Times New Roman"/>
          <w:color w:val="FFFFFF" w:themeColor="background1"/>
          <w:sz w:val="21"/>
          <w:szCs w:val="21"/>
        </w:rPr>
      </w:pPr>
      <w:hyperlink r:id="rId10" w:history="1">
        <w:r w:rsidR="00FD7AC6" w:rsidRPr="00FD7AC6">
          <w:rPr>
            <w:rFonts w:ascii="Arial" w:eastAsia="Times New Roman" w:hAnsi="Arial" w:cs="Arial"/>
            <w:color w:val="FFFFFF" w:themeColor="background1"/>
            <w:sz w:val="21"/>
            <w:szCs w:val="21"/>
            <w:u w:val="single"/>
          </w:rPr>
          <w:t>Aims</w:t>
        </w:r>
      </w:hyperlink>
    </w:p>
    <w:p w:rsidR="00FD7AC6" w:rsidRPr="00FD7AC6" w:rsidRDefault="00654462" w:rsidP="00FD7AC6">
      <w:pPr>
        <w:numPr>
          <w:ilvl w:val="0"/>
          <w:numId w:val="1"/>
        </w:numPr>
        <w:shd w:val="clear" w:color="auto" w:fill="000066"/>
        <w:spacing w:after="120" w:line="300" w:lineRule="atLeast"/>
        <w:ind w:left="0"/>
        <w:rPr>
          <w:rFonts w:ascii="Helvetica" w:eastAsia="Times New Roman" w:hAnsi="Helvetica" w:cs="Times New Roman"/>
          <w:color w:val="FFFFFF" w:themeColor="background1"/>
          <w:sz w:val="21"/>
          <w:szCs w:val="21"/>
        </w:rPr>
      </w:pPr>
      <w:hyperlink r:id="rId11" w:history="1">
        <w:r w:rsidR="00FD7AC6" w:rsidRPr="00FD7AC6">
          <w:rPr>
            <w:rFonts w:ascii="Arial" w:eastAsia="Times New Roman" w:hAnsi="Arial" w:cs="Arial"/>
            <w:color w:val="FFFFFF" w:themeColor="background1"/>
            <w:sz w:val="21"/>
            <w:szCs w:val="21"/>
            <w:u w:val="single"/>
          </w:rPr>
          <w:t>Assessment objectives</w:t>
        </w:r>
      </w:hyperlink>
    </w:p>
    <w:p w:rsidR="00FD7AC6" w:rsidRPr="00FD7AC6" w:rsidRDefault="00654462" w:rsidP="00FD7AC6">
      <w:pPr>
        <w:numPr>
          <w:ilvl w:val="0"/>
          <w:numId w:val="1"/>
        </w:numPr>
        <w:shd w:val="clear" w:color="auto" w:fill="000066"/>
        <w:spacing w:after="120" w:line="300" w:lineRule="atLeast"/>
        <w:ind w:left="0"/>
        <w:rPr>
          <w:rFonts w:ascii="Helvetica" w:eastAsia="Times New Roman" w:hAnsi="Helvetica" w:cs="Times New Roman"/>
          <w:color w:val="FFFFFF" w:themeColor="background1"/>
          <w:sz w:val="21"/>
          <w:szCs w:val="21"/>
        </w:rPr>
      </w:pPr>
      <w:hyperlink r:id="rId12" w:history="1">
        <w:r w:rsidR="00FD7AC6" w:rsidRPr="00FD7AC6">
          <w:rPr>
            <w:rFonts w:ascii="Arial" w:eastAsia="Times New Roman" w:hAnsi="Arial" w:cs="Arial"/>
            <w:color w:val="FFFFFF" w:themeColor="background1"/>
            <w:sz w:val="21"/>
            <w:szCs w:val="21"/>
            <w:u w:val="single"/>
          </w:rPr>
          <w:t>Assessment objectives in practice</w:t>
        </w:r>
      </w:hyperlink>
    </w:p>
    <w:p w:rsidR="00FD7AC6" w:rsidRPr="00FD7AC6" w:rsidRDefault="00FD7AC6" w:rsidP="00FD7AC6">
      <w:pPr>
        <w:shd w:val="clear" w:color="auto" w:fill="000066"/>
        <w:spacing w:after="72" w:line="300" w:lineRule="atLeast"/>
        <w:rPr>
          <w:rFonts w:ascii="Arial" w:eastAsia="Times New Roman" w:hAnsi="Arial" w:cs="Arial"/>
          <w:color w:val="FFFFFF" w:themeColor="background1"/>
          <w:sz w:val="27"/>
          <w:szCs w:val="27"/>
        </w:rPr>
      </w:pPr>
      <w:r w:rsidRPr="00FD7AC6">
        <w:rPr>
          <w:rFonts w:ascii="Arial" w:eastAsia="Times New Roman" w:hAnsi="Arial" w:cs="Arial"/>
          <w:color w:val="FFFFFF" w:themeColor="background1"/>
          <w:sz w:val="27"/>
          <w:szCs w:val="27"/>
        </w:rPr>
        <w:t>Syllabus</w:t>
      </w:r>
    </w:p>
    <w:p w:rsidR="00FD7AC6" w:rsidRPr="00FD7AC6" w:rsidRDefault="00654462" w:rsidP="00FD7AC6">
      <w:pPr>
        <w:numPr>
          <w:ilvl w:val="0"/>
          <w:numId w:val="2"/>
        </w:numPr>
        <w:shd w:val="clear" w:color="auto" w:fill="000066"/>
        <w:spacing w:after="120" w:line="300" w:lineRule="atLeast"/>
        <w:ind w:left="0"/>
        <w:rPr>
          <w:rFonts w:ascii="Helvetica" w:eastAsia="Times New Roman" w:hAnsi="Helvetica" w:cs="Times New Roman"/>
          <w:color w:val="FFFFFF" w:themeColor="background1"/>
          <w:sz w:val="21"/>
          <w:szCs w:val="21"/>
        </w:rPr>
      </w:pPr>
      <w:hyperlink r:id="rId13" w:history="1">
        <w:r w:rsidR="00FD7AC6" w:rsidRPr="00FD7AC6">
          <w:rPr>
            <w:rFonts w:ascii="Arial" w:eastAsia="Times New Roman" w:hAnsi="Arial" w:cs="Arial"/>
            <w:color w:val="FFFFFF" w:themeColor="background1"/>
            <w:sz w:val="21"/>
            <w:szCs w:val="21"/>
            <w:u w:val="single"/>
          </w:rPr>
          <w:t>Syllabus outline</w:t>
        </w:r>
      </w:hyperlink>
    </w:p>
    <w:p w:rsidR="00FD7AC6" w:rsidRPr="00FD7AC6" w:rsidRDefault="00654462" w:rsidP="00FD7AC6">
      <w:pPr>
        <w:numPr>
          <w:ilvl w:val="0"/>
          <w:numId w:val="2"/>
        </w:numPr>
        <w:shd w:val="clear" w:color="auto" w:fill="000066"/>
        <w:spacing w:after="120" w:line="300" w:lineRule="atLeast"/>
        <w:ind w:left="0"/>
        <w:rPr>
          <w:rFonts w:ascii="Helvetica" w:eastAsia="Times New Roman" w:hAnsi="Helvetica" w:cs="Times New Roman"/>
          <w:color w:val="FFFFFF" w:themeColor="background1"/>
          <w:sz w:val="21"/>
          <w:szCs w:val="21"/>
        </w:rPr>
      </w:pPr>
      <w:hyperlink r:id="rId14" w:history="1">
        <w:r w:rsidR="00FD7AC6" w:rsidRPr="00FD7AC6">
          <w:rPr>
            <w:rFonts w:ascii="Arial" w:eastAsia="Times New Roman" w:hAnsi="Arial" w:cs="Arial"/>
            <w:color w:val="FFFFFF" w:themeColor="background1"/>
            <w:sz w:val="21"/>
            <w:szCs w:val="21"/>
            <w:u w:val="single"/>
          </w:rPr>
          <w:t>Approaches to the teaching and learning of classical languages</w:t>
        </w:r>
      </w:hyperlink>
    </w:p>
    <w:p w:rsidR="00FD7AC6" w:rsidRPr="00FD7AC6" w:rsidRDefault="00654462" w:rsidP="00FD7AC6">
      <w:pPr>
        <w:numPr>
          <w:ilvl w:val="0"/>
          <w:numId w:val="2"/>
        </w:numPr>
        <w:shd w:val="clear" w:color="auto" w:fill="000066"/>
        <w:spacing w:after="120" w:line="300" w:lineRule="atLeast"/>
        <w:ind w:left="0"/>
        <w:rPr>
          <w:rFonts w:ascii="Helvetica" w:eastAsia="Times New Roman" w:hAnsi="Helvetica" w:cs="Times New Roman"/>
          <w:b/>
          <w:bCs/>
          <w:color w:val="FFFFFF" w:themeColor="background1"/>
          <w:sz w:val="21"/>
          <w:szCs w:val="21"/>
        </w:rPr>
      </w:pPr>
      <w:hyperlink r:id="rId15" w:history="1">
        <w:r w:rsidR="00FD7AC6" w:rsidRPr="00FD7AC6">
          <w:rPr>
            <w:rFonts w:ascii="Arial" w:eastAsia="Times New Roman" w:hAnsi="Arial" w:cs="Arial"/>
            <w:b/>
            <w:bCs/>
            <w:color w:val="FFFFFF" w:themeColor="background1"/>
            <w:sz w:val="21"/>
            <w:szCs w:val="21"/>
            <w:u w:val="single"/>
          </w:rPr>
          <w:t>Syllabus content</w:t>
        </w:r>
      </w:hyperlink>
    </w:p>
    <w:p w:rsidR="00FD7AC6" w:rsidRPr="00FD7AC6" w:rsidRDefault="00FD7AC6" w:rsidP="00FD7AC6">
      <w:pPr>
        <w:shd w:val="clear" w:color="auto" w:fill="000066"/>
        <w:spacing w:after="72" w:line="300" w:lineRule="atLeast"/>
        <w:rPr>
          <w:rFonts w:ascii="Arial" w:eastAsia="Times New Roman" w:hAnsi="Arial" w:cs="Arial"/>
          <w:color w:val="FFFFFF" w:themeColor="background1"/>
          <w:sz w:val="27"/>
          <w:szCs w:val="27"/>
        </w:rPr>
      </w:pPr>
      <w:r w:rsidRPr="00FD7AC6">
        <w:rPr>
          <w:rFonts w:ascii="Arial" w:eastAsia="Times New Roman" w:hAnsi="Arial" w:cs="Arial"/>
          <w:color w:val="FFFFFF" w:themeColor="background1"/>
          <w:sz w:val="27"/>
          <w:szCs w:val="27"/>
        </w:rPr>
        <w:t>Assessment</w:t>
      </w:r>
    </w:p>
    <w:p w:rsidR="00FD7AC6" w:rsidRPr="00FD7AC6" w:rsidRDefault="00654462" w:rsidP="00FD7AC6">
      <w:pPr>
        <w:numPr>
          <w:ilvl w:val="0"/>
          <w:numId w:val="3"/>
        </w:numPr>
        <w:shd w:val="clear" w:color="auto" w:fill="000066"/>
        <w:spacing w:after="120" w:line="300" w:lineRule="atLeast"/>
        <w:ind w:left="0"/>
        <w:rPr>
          <w:rFonts w:ascii="Helvetica" w:eastAsia="Times New Roman" w:hAnsi="Helvetica" w:cs="Times New Roman"/>
          <w:color w:val="FFFFFF" w:themeColor="background1"/>
          <w:sz w:val="21"/>
          <w:szCs w:val="21"/>
        </w:rPr>
      </w:pPr>
      <w:hyperlink r:id="rId16" w:history="1">
        <w:r w:rsidR="00FD7AC6" w:rsidRPr="00FD7AC6">
          <w:rPr>
            <w:rFonts w:ascii="Arial" w:eastAsia="Times New Roman" w:hAnsi="Arial" w:cs="Arial"/>
            <w:color w:val="FFFFFF" w:themeColor="background1"/>
            <w:sz w:val="21"/>
            <w:szCs w:val="21"/>
            <w:u w:val="single"/>
          </w:rPr>
          <w:t>Assessment in the Diploma Programme</w:t>
        </w:r>
      </w:hyperlink>
    </w:p>
    <w:p w:rsidR="00FD7AC6" w:rsidRPr="00FD7AC6" w:rsidRDefault="00654462" w:rsidP="00FD7AC6">
      <w:pPr>
        <w:numPr>
          <w:ilvl w:val="0"/>
          <w:numId w:val="3"/>
        </w:numPr>
        <w:shd w:val="clear" w:color="auto" w:fill="000066"/>
        <w:spacing w:after="120" w:line="300" w:lineRule="atLeast"/>
        <w:ind w:left="0"/>
        <w:rPr>
          <w:rFonts w:ascii="Helvetica" w:eastAsia="Times New Roman" w:hAnsi="Helvetica" w:cs="Times New Roman"/>
          <w:color w:val="FFFFFF" w:themeColor="background1"/>
          <w:sz w:val="21"/>
          <w:szCs w:val="21"/>
        </w:rPr>
      </w:pPr>
      <w:hyperlink r:id="rId17" w:history="1">
        <w:r w:rsidR="00FD7AC6" w:rsidRPr="00FD7AC6">
          <w:rPr>
            <w:rFonts w:ascii="Arial" w:eastAsia="Times New Roman" w:hAnsi="Arial" w:cs="Arial"/>
            <w:color w:val="FFFFFF" w:themeColor="background1"/>
            <w:sz w:val="21"/>
            <w:szCs w:val="21"/>
            <w:u w:val="single"/>
          </w:rPr>
          <w:t>Assessment outline—SL</w:t>
        </w:r>
      </w:hyperlink>
    </w:p>
    <w:p w:rsidR="00FD7AC6" w:rsidRPr="00FD7AC6" w:rsidRDefault="00654462" w:rsidP="00FD7AC6">
      <w:pPr>
        <w:numPr>
          <w:ilvl w:val="0"/>
          <w:numId w:val="3"/>
        </w:numPr>
        <w:shd w:val="clear" w:color="auto" w:fill="000066"/>
        <w:spacing w:after="120" w:line="300" w:lineRule="atLeast"/>
        <w:ind w:left="0"/>
        <w:rPr>
          <w:rFonts w:ascii="Helvetica" w:eastAsia="Times New Roman" w:hAnsi="Helvetica" w:cs="Times New Roman"/>
          <w:color w:val="FFFFFF" w:themeColor="background1"/>
          <w:sz w:val="21"/>
          <w:szCs w:val="21"/>
        </w:rPr>
      </w:pPr>
      <w:hyperlink r:id="rId18" w:history="1">
        <w:r w:rsidR="00FD7AC6" w:rsidRPr="00FD7AC6">
          <w:rPr>
            <w:rFonts w:ascii="Arial" w:eastAsia="Times New Roman" w:hAnsi="Arial" w:cs="Arial"/>
            <w:color w:val="FFFFFF" w:themeColor="background1"/>
            <w:sz w:val="21"/>
            <w:szCs w:val="21"/>
            <w:u w:val="single"/>
          </w:rPr>
          <w:t>Assessment outline—HL</w:t>
        </w:r>
      </w:hyperlink>
    </w:p>
    <w:p w:rsidR="00FD7AC6" w:rsidRPr="00FD7AC6" w:rsidRDefault="00654462" w:rsidP="00FD7AC6">
      <w:pPr>
        <w:numPr>
          <w:ilvl w:val="0"/>
          <w:numId w:val="3"/>
        </w:numPr>
        <w:shd w:val="clear" w:color="auto" w:fill="000066"/>
        <w:spacing w:after="120" w:line="300" w:lineRule="atLeast"/>
        <w:ind w:left="0"/>
        <w:rPr>
          <w:rFonts w:ascii="Helvetica" w:eastAsia="Times New Roman" w:hAnsi="Helvetica" w:cs="Times New Roman"/>
          <w:color w:val="FFFFFF" w:themeColor="background1"/>
          <w:sz w:val="21"/>
          <w:szCs w:val="21"/>
        </w:rPr>
      </w:pPr>
      <w:hyperlink r:id="rId19" w:history="1">
        <w:r w:rsidR="00FD7AC6" w:rsidRPr="00FD7AC6">
          <w:rPr>
            <w:rFonts w:ascii="Arial" w:eastAsia="Times New Roman" w:hAnsi="Arial" w:cs="Arial"/>
            <w:color w:val="FFFFFF" w:themeColor="background1"/>
            <w:sz w:val="21"/>
            <w:szCs w:val="21"/>
            <w:u w:val="single"/>
          </w:rPr>
          <w:t>External assessment</w:t>
        </w:r>
      </w:hyperlink>
    </w:p>
    <w:p w:rsidR="00FD7AC6" w:rsidRPr="00FD7AC6" w:rsidRDefault="00654462" w:rsidP="00FD7AC6">
      <w:pPr>
        <w:numPr>
          <w:ilvl w:val="0"/>
          <w:numId w:val="3"/>
        </w:numPr>
        <w:shd w:val="clear" w:color="auto" w:fill="000066"/>
        <w:spacing w:after="120" w:line="300" w:lineRule="atLeast"/>
        <w:ind w:left="0"/>
        <w:rPr>
          <w:rFonts w:ascii="Helvetica" w:eastAsia="Times New Roman" w:hAnsi="Helvetica" w:cs="Times New Roman"/>
          <w:color w:val="FFFFFF" w:themeColor="background1"/>
          <w:sz w:val="21"/>
          <w:szCs w:val="21"/>
        </w:rPr>
      </w:pPr>
      <w:hyperlink r:id="rId20" w:history="1">
        <w:r w:rsidR="00FD7AC6" w:rsidRPr="00FD7AC6">
          <w:rPr>
            <w:rFonts w:ascii="Arial" w:eastAsia="Times New Roman" w:hAnsi="Arial" w:cs="Arial"/>
            <w:color w:val="FFFFFF" w:themeColor="background1"/>
            <w:sz w:val="21"/>
            <w:szCs w:val="21"/>
            <w:u w:val="single"/>
          </w:rPr>
          <w:t>Internal assessment</w:t>
        </w:r>
      </w:hyperlink>
    </w:p>
    <w:p w:rsidR="00FD7AC6" w:rsidRPr="00FD7AC6" w:rsidRDefault="00FD7AC6" w:rsidP="00FD7AC6">
      <w:pPr>
        <w:shd w:val="clear" w:color="auto" w:fill="000066"/>
        <w:spacing w:after="72" w:line="300" w:lineRule="atLeast"/>
        <w:rPr>
          <w:rFonts w:ascii="Arial" w:eastAsia="Times New Roman" w:hAnsi="Arial" w:cs="Arial"/>
          <w:color w:val="FFFFFF" w:themeColor="background1"/>
          <w:sz w:val="27"/>
          <w:szCs w:val="27"/>
        </w:rPr>
      </w:pPr>
      <w:r w:rsidRPr="00FD7AC6">
        <w:rPr>
          <w:rFonts w:ascii="Arial" w:eastAsia="Times New Roman" w:hAnsi="Arial" w:cs="Arial"/>
          <w:color w:val="FFFFFF" w:themeColor="background1"/>
          <w:sz w:val="27"/>
          <w:szCs w:val="27"/>
        </w:rPr>
        <w:t>Appendices</w:t>
      </w:r>
    </w:p>
    <w:p w:rsidR="00FD7AC6" w:rsidRPr="00FD7AC6" w:rsidRDefault="00654462" w:rsidP="00FD7AC6">
      <w:pPr>
        <w:numPr>
          <w:ilvl w:val="0"/>
          <w:numId w:val="4"/>
        </w:numPr>
        <w:shd w:val="clear" w:color="auto" w:fill="000066"/>
        <w:spacing w:after="120" w:line="300" w:lineRule="atLeast"/>
        <w:ind w:left="0"/>
        <w:rPr>
          <w:rFonts w:ascii="Helvetica" w:eastAsia="Times New Roman" w:hAnsi="Helvetica" w:cs="Times New Roman"/>
          <w:color w:val="FFFFFF" w:themeColor="background1"/>
          <w:sz w:val="21"/>
          <w:szCs w:val="21"/>
        </w:rPr>
      </w:pPr>
      <w:hyperlink r:id="rId21" w:history="1">
        <w:r w:rsidR="00FD7AC6" w:rsidRPr="00FD7AC6">
          <w:rPr>
            <w:rFonts w:ascii="Arial" w:eastAsia="Times New Roman" w:hAnsi="Arial" w:cs="Arial"/>
            <w:color w:val="FFFFFF" w:themeColor="background1"/>
            <w:sz w:val="21"/>
            <w:szCs w:val="21"/>
            <w:u w:val="single"/>
          </w:rPr>
          <w:t>Glossary of command terms</w:t>
        </w:r>
      </w:hyperlink>
    </w:p>
    <w:p w:rsidR="00FD7AC6" w:rsidRPr="00FD7AC6" w:rsidRDefault="00654462" w:rsidP="00FD7AC6">
      <w:pPr>
        <w:numPr>
          <w:ilvl w:val="0"/>
          <w:numId w:val="4"/>
        </w:numPr>
        <w:shd w:val="clear" w:color="auto" w:fill="000066"/>
        <w:spacing w:after="120" w:line="300" w:lineRule="atLeast"/>
        <w:ind w:left="0"/>
        <w:rPr>
          <w:rFonts w:ascii="Helvetica" w:eastAsia="Times New Roman" w:hAnsi="Helvetica" w:cs="Times New Roman"/>
          <w:color w:val="FFFFFF" w:themeColor="background1"/>
          <w:sz w:val="21"/>
          <w:szCs w:val="21"/>
        </w:rPr>
      </w:pPr>
      <w:hyperlink r:id="rId22" w:history="1">
        <w:r w:rsidR="00FD7AC6" w:rsidRPr="00FD7AC6">
          <w:rPr>
            <w:rFonts w:ascii="Arial" w:eastAsia="Times New Roman" w:hAnsi="Arial" w:cs="Arial"/>
            <w:color w:val="FFFFFF" w:themeColor="background1"/>
            <w:sz w:val="21"/>
            <w:szCs w:val="21"/>
            <w:u w:val="single"/>
          </w:rPr>
          <w:t>Glossary of subject-specific terms</w:t>
        </w:r>
      </w:hyperlink>
    </w:p>
    <w:p w:rsidR="00FD7AC6" w:rsidRPr="00FD7AC6" w:rsidRDefault="00654462" w:rsidP="00FD7AC6">
      <w:pPr>
        <w:numPr>
          <w:ilvl w:val="0"/>
          <w:numId w:val="4"/>
        </w:numPr>
        <w:shd w:val="clear" w:color="auto" w:fill="000066"/>
        <w:spacing w:after="120" w:line="300" w:lineRule="atLeast"/>
        <w:ind w:left="0"/>
        <w:rPr>
          <w:rFonts w:ascii="Helvetica" w:eastAsia="Times New Roman" w:hAnsi="Helvetica" w:cs="Times New Roman"/>
          <w:color w:val="FFFFFF" w:themeColor="background1"/>
          <w:sz w:val="21"/>
          <w:szCs w:val="21"/>
        </w:rPr>
      </w:pPr>
      <w:hyperlink r:id="rId23" w:history="1">
        <w:r w:rsidR="00FD7AC6" w:rsidRPr="00FD7AC6">
          <w:rPr>
            <w:rFonts w:ascii="Arial" w:eastAsia="Times New Roman" w:hAnsi="Arial" w:cs="Arial"/>
            <w:color w:val="FFFFFF" w:themeColor="background1"/>
            <w:sz w:val="21"/>
            <w:szCs w:val="21"/>
            <w:u w:val="single"/>
          </w:rPr>
          <w:t>Bibliography</w:t>
        </w:r>
      </w:hyperlink>
    </w:p>
    <w:p w:rsidR="00FD7AC6" w:rsidRPr="00FD7AC6" w:rsidRDefault="00FD7AC6" w:rsidP="00FD7AC6">
      <w:pPr>
        <w:pBdr>
          <w:bottom w:val="single" w:sz="18" w:space="3" w:color="D3D3D3"/>
        </w:pBdr>
        <w:shd w:val="clear" w:color="auto" w:fill="000066"/>
        <w:spacing w:before="150" w:after="150" w:line="600" w:lineRule="atLeast"/>
        <w:outlineLvl w:val="1"/>
        <w:rPr>
          <w:rFonts w:ascii="inherit" w:eastAsia="Times New Roman" w:hAnsi="inherit" w:cs="Times New Roman"/>
          <w:color w:val="FFFFFF" w:themeColor="background1"/>
          <w:sz w:val="45"/>
          <w:szCs w:val="45"/>
        </w:rPr>
      </w:pPr>
      <w:r w:rsidRPr="00FD7AC6">
        <w:rPr>
          <w:rFonts w:ascii="inherit" w:eastAsia="Times New Roman" w:hAnsi="inherit" w:cs="Times New Roman"/>
          <w:color w:val="FFFFFF" w:themeColor="background1"/>
          <w:sz w:val="45"/>
          <w:szCs w:val="45"/>
        </w:rPr>
        <w:t>Syllabus content</w:t>
      </w:r>
    </w:p>
    <w:p w:rsidR="00FD7AC6" w:rsidRPr="00FD7AC6" w:rsidRDefault="00FD7AC6" w:rsidP="00FD7AC6">
      <w:pPr>
        <w:shd w:val="clear" w:color="auto" w:fill="000066"/>
        <w:spacing w:before="360" w:after="150" w:line="600" w:lineRule="atLeast"/>
        <w:outlineLvl w:val="2"/>
        <w:rPr>
          <w:rFonts w:ascii="inherit" w:eastAsia="Times New Roman" w:hAnsi="inherit" w:cs="Times New Roman"/>
          <w:color w:val="FFFFFF" w:themeColor="background1"/>
          <w:sz w:val="38"/>
          <w:szCs w:val="38"/>
        </w:rPr>
      </w:pPr>
      <w:r w:rsidRPr="00FD7AC6">
        <w:rPr>
          <w:rFonts w:ascii="inherit" w:eastAsia="Times New Roman" w:hAnsi="inherit" w:cs="Times New Roman"/>
          <w:color w:val="FFFFFF" w:themeColor="background1"/>
          <w:sz w:val="38"/>
          <w:szCs w:val="38"/>
        </w:rPr>
        <w:t>Part 1: Study of language</w:t>
      </w:r>
    </w:p>
    <w:p w:rsidR="00FD7AC6" w:rsidRPr="00FD7AC6" w:rsidRDefault="00FD7AC6" w:rsidP="00FD7AC6">
      <w:pPr>
        <w:shd w:val="clear" w:color="auto" w:fill="000066"/>
        <w:spacing w:after="150" w:line="300" w:lineRule="atLeast"/>
        <w:rPr>
          <w:rFonts w:ascii="Helvetica" w:eastAsia="Times New Roman" w:hAnsi="Helvetica" w:cs="Times New Roman"/>
          <w:color w:val="FFFFFF" w:themeColor="background1"/>
          <w:sz w:val="21"/>
          <w:szCs w:val="21"/>
        </w:rPr>
      </w:pPr>
      <w:r w:rsidRPr="00FD7AC6">
        <w:rPr>
          <w:rFonts w:ascii="Helvetica" w:eastAsia="Times New Roman" w:hAnsi="Helvetica" w:cs="Times New Roman"/>
          <w:color w:val="FFFFFF" w:themeColor="background1"/>
          <w:sz w:val="21"/>
          <w:szCs w:val="21"/>
        </w:rPr>
        <w:t>The main aim of this part of the syllabus is to equip students with the language skills to read and understand classical authors in the original language.</w:t>
      </w:r>
    </w:p>
    <w:p w:rsidR="00FD7AC6" w:rsidRPr="00FD7AC6" w:rsidRDefault="00FD7AC6" w:rsidP="00FD7AC6">
      <w:pPr>
        <w:shd w:val="clear" w:color="auto" w:fill="000066"/>
        <w:spacing w:before="150" w:after="150" w:line="300" w:lineRule="atLeast"/>
        <w:outlineLvl w:val="3"/>
        <w:rPr>
          <w:rFonts w:ascii="inherit" w:eastAsia="Times New Roman" w:hAnsi="inherit" w:cs="Times New Roman"/>
          <w:b/>
          <w:bCs/>
          <w:color w:val="FFFFFF" w:themeColor="background1"/>
          <w:sz w:val="27"/>
          <w:szCs w:val="27"/>
        </w:rPr>
      </w:pPr>
      <w:r w:rsidRPr="00FD7AC6">
        <w:rPr>
          <w:rFonts w:ascii="inherit" w:eastAsia="Times New Roman" w:hAnsi="inherit" w:cs="Times New Roman"/>
          <w:b/>
          <w:bCs/>
          <w:color w:val="FFFFFF" w:themeColor="background1"/>
          <w:sz w:val="27"/>
          <w:szCs w:val="27"/>
        </w:rPr>
        <w:t>Prescribed authors</w:t>
      </w:r>
    </w:p>
    <w:p w:rsidR="00FD7AC6" w:rsidRPr="00FD7AC6" w:rsidRDefault="00FD7AC6" w:rsidP="00FD7AC6">
      <w:pPr>
        <w:shd w:val="clear" w:color="auto" w:fill="000066"/>
        <w:spacing w:before="150" w:after="150" w:line="300" w:lineRule="atLeast"/>
        <w:outlineLvl w:val="4"/>
        <w:rPr>
          <w:rFonts w:ascii="inherit" w:eastAsia="Times New Roman" w:hAnsi="inherit" w:cs="Times New Roman"/>
          <w:b/>
          <w:bCs/>
          <w:color w:val="FFFFFF" w:themeColor="background1"/>
          <w:sz w:val="21"/>
          <w:szCs w:val="21"/>
        </w:rPr>
      </w:pPr>
      <w:r w:rsidRPr="00FD7AC6">
        <w:rPr>
          <w:rFonts w:ascii="inherit" w:eastAsia="Times New Roman" w:hAnsi="inherit" w:cs="Times New Roman"/>
          <w:b/>
          <w:bCs/>
          <w:color w:val="FFFFFF" w:themeColor="background1"/>
          <w:sz w:val="21"/>
          <w:szCs w:val="21"/>
        </w:rPr>
        <w:t>Latin (SL and HL)</w:t>
      </w:r>
    </w:p>
    <w:p w:rsidR="00FD7AC6" w:rsidRPr="00FD7AC6" w:rsidRDefault="00FD7AC6" w:rsidP="00FD7AC6">
      <w:pPr>
        <w:numPr>
          <w:ilvl w:val="0"/>
          <w:numId w:val="5"/>
        </w:numPr>
        <w:shd w:val="clear" w:color="auto" w:fill="000066"/>
        <w:spacing w:after="120" w:line="300" w:lineRule="atLeast"/>
        <w:ind w:left="765"/>
        <w:rPr>
          <w:rFonts w:ascii="Helvetica" w:eastAsia="Times New Roman" w:hAnsi="Helvetica" w:cs="Times New Roman"/>
          <w:color w:val="FFFFFF" w:themeColor="background1"/>
          <w:sz w:val="21"/>
          <w:szCs w:val="21"/>
        </w:rPr>
      </w:pPr>
      <w:r w:rsidRPr="00FD7AC6">
        <w:rPr>
          <w:rFonts w:ascii="Helvetica" w:eastAsia="Times New Roman" w:hAnsi="Helvetica" w:cs="Times New Roman"/>
          <w:color w:val="FFFFFF" w:themeColor="background1"/>
          <w:sz w:val="21"/>
          <w:szCs w:val="21"/>
        </w:rPr>
        <w:t>Ovid, </w:t>
      </w:r>
      <w:r w:rsidRPr="00FD7AC6">
        <w:rPr>
          <w:rFonts w:ascii="Helvetica" w:eastAsia="Times New Roman" w:hAnsi="Helvetica" w:cs="Times New Roman"/>
          <w:i/>
          <w:iCs/>
          <w:color w:val="FFFFFF" w:themeColor="background1"/>
          <w:sz w:val="21"/>
          <w:szCs w:val="21"/>
        </w:rPr>
        <w:t>Metamorphoses</w:t>
      </w:r>
    </w:p>
    <w:p w:rsidR="00FD7AC6" w:rsidRPr="00FD7AC6" w:rsidRDefault="00FD7AC6" w:rsidP="00FD7AC6">
      <w:pPr>
        <w:numPr>
          <w:ilvl w:val="0"/>
          <w:numId w:val="5"/>
        </w:numPr>
        <w:shd w:val="clear" w:color="auto" w:fill="000066"/>
        <w:spacing w:after="120" w:line="300" w:lineRule="atLeast"/>
        <w:ind w:left="765"/>
        <w:rPr>
          <w:rFonts w:ascii="Helvetica" w:eastAsia="Times New Roman" w:hAnsi="Helvetica" w:cs="Times New Roman"/>
          <w:color w:val="FFFFFF" w:themeColor="background1"/>
          <w:sz w:val="21"/>
          <w:szCs w:val="21"/>
        </w:rPr>
      </w:pPr>
      <w:r w:rsidRPr="00FD7AC6">
        <w:rPr>
          <w:rFonts w:ascii="Helvetica" w:eastAsia="Times New Roman" w:hAnsi="Helvetica" w:cs="Times New Roman"/>
          <w:color w:val="FFFFFF" w:themeColor="background1"/>
          <w:sz w:val="21"/>
          <w:szCs w:val="21"/>
        </w:rPr>
        <w:t>Cicero (speeches)</w:t>
      </w:r>
    </w:p>
    <w:p w:rsidR="00FD7AC6" w:rsidRPr="00FD7AC6" w:rsidRDefault="00FD7AC6" w:rsidP="00FD7AC6">
      <w:pPr>
        <w:shd w:val="clear" w:color="auto" w:fill="000066"/>
        <w:spacing w:before="150" w:after="150" w:line="300" w:lineRule="atLeast"/>
        <w:outlineLvl w:val="4"/>
        <w:rPr>
          <w:rFonts w:ascii="inherit" w:eastAsia="Times New Roman" w:hAnsi="inherit" w:cs="Times New Roman"/>
          <w:b/>
          <w:bCs/>
          <w:color w:val="FFFFFF" w:themeColor="background1"/>
          <w:sz w:val="21"/>
          <w:szCs w:val="21"/>
        </w:rPr>
      </w:pPr>
      <w:r w:rsidRPr="00FD7AC6">
        <w:rPr>
          <w:rFonts w:ascii="inherit" w:eastAsia="Times New Roman" w:hAnsi="inherit" w:cs="Times New Roman"/>
          <w:b/>
          <w:bCs/>
          <w:color w:val="FFFFFF" w:themeColor="background1"/>
          <w:sz w:val="21"/>
          <w:szCs w:val="21"/>
        </w:rPr>
        <w:lastRenderedPageBreak/>
        <w:t>Classical Greek (SL and HL)</w:t>
      </w:r>
    </w:p>
    <w:p w:rsidR="00FD7AC6" w:rsidRPr="00FD7AC6" w:rsidRDefault="00FD7AC6" w:rsidP="00FD7AC6">
      <w:pPr>
        <w:numPr>
          <w:ilvl w:val="0"/>
          <w:numId w:val="6"/>
        </w:numPr>
        <w:shd w:val="clear" w:color="auto" w:fill="000066"/>
        <w:spacing w:after="120" w:line="300" w:lineRule="atLeast"/>
        <w:ind w:left="765"/>
        <w:rPr>
          <w:rFonts w:ascii="Helvetica" w:eastAsia="Times New Roman" w:hAnsi="Helvetica" w:cs="Times New Roman"/>
          <w:color w:val="FFFFFF" w:themeColor="background1"/>
          <w:sz w:val="21"/>
          <w:szCs w:val="21"/>
        </w:rPr>
      </w:pPr>
      <w:r w:rsidRPr="00FD7AC6">
        <w:rPr>
          <w:rFonts w:ascii="Helvetica" w:eastAsia="Times New Roman" w:hAnsi="Helvetica" w:cs="Times New Roman"/>
          <w:color w:val="FFFFFF" w:themeColor="background1"/>
          <w:sz w:val="21"/>
          <w:szCs w:val="21"/>
        </w:rPr>
        <w:t>Xenophon</w:t>
      </w:r>
    </w:p>
    <w:p w:rsidR="00FD7AC6" w:rsidRPr="00FD7AC6" w:rsidRDefault="00FD7AC6" w:rsidP="00FD7AC6">
      <w:pPr>
        <w:shd w:val="clear" w:color="auto" w:fill="000066"/>
        <w:spacing w:before="150" w:after="150" w:line="300" w:lineRule="atLeast"/>
        <w:outlineLvl w:val="3"/>
        <w:rPr>
          <w:rFonts w:ascii="inherit" w:eastAsia="Times New Roman" w:hAnsi="inherit" w:cs="Times New Roman"/>
          <w:b/>
          <w:bCs/>
          <w:color w:val="FFFFFF" w:themeColor="background1"/>
          <w:sz w:val="27"/>
          <w:szCs w:val="27"/>
        </w:rPr>
      </w:pPr>
      <w:r w:rsidRPr="00FD7AC6">
        <w:rPr>
          <w:rFonts w:ascii="inherit" w:eastAsia="Times New Roman" w:hAnsi="inherit" w:cs="Times New Roman"/>
          <w:b/>
          <w:bCs/>
          <w:color w:val="FFFFFF" w:themeColor="background1"/>
          <w:sz w:val="27"/>
          <w:szCs w:val="27"/>
        </w:rPr>
        <w:t>Suggested preparation</w:t>
      </w:r>
    </w:p>
    <w:p w:rsidR="00FD7AC6" w:rsidRPr="00FD7AC6" w:rsidRDefault="00FD7AC6" w:rsidP="00FD7AC6">
      <w:pPr>
        <w:shd w:val="clear" w:color="auto" w:fill="000066"/>
        <w:spacing w:after="150" w:line="300" w:lineRule="atLeast"/>
        <w:rPr>
          <w:rFonts w:ascii="Helvetica" w:eastAsia="Times New Roman" w:hAnsi="Helvetica" w:cs="Times New Roman"/>
          <w:color w:val="FFFFFF" w:themeColor="background1"/>
          <w:sz w:val="21"/>
          <w:szCs w:val="21"/>
        </w:rPr>
      </w:pPr>
      <w:r w:rsidRPr="00FD7AC6">
        <w:rPr>
          <w:rFonts w:ascii="Helvetica" w:eastAsia="Times New Roman" w:hAnsi="Helvetica" w:cs="Times New Roman"/>
          <w:color w:val="FFFFFF" w:themeColor="background1"/>
          <w:sz w:val="21"/>
          <w:szCs w:val="21"/>
        </w:rPr>
        <w:t>The aim of the Latin or Classical Greek syllabus is to teach a facility with reading and understanding, and to develop some sensitivity to style. After grammar has been taught, selected reading of the prescribed author should be pursued. In paper 1, students are asked to produce a translation with the use of a dictionary, and proper dictionary skills should be developed in class to assist with all areas of the syllabus. It is best practice for teachers to encourage students to familiarize themselves with the most common words in prescribed authors.</w:t>
      </w:r>
    </w:p>
    <w:p w:rsidR="00FD7AC6" w:rsidRPr="00FD7AC6" w:rsidRDefault="00FD7AC6" w:rsidP="00FD7AC6">
      <w:pPr>
        <w:shd w:val="clear" w:color="auto" w:fill="000066"/>
        <w:spacing w:after="150" w:line="300" w:lineRule="atLeast"/>
        <w:rPr>
          <w:rFonts w:ascii="Helvetica" w:eastAsia="Times New Roman" w:hAnsi="Helvetica" w:cs="Times New Roman"/>
          <w:color w:val="FFFFFF" w:themeColor="background1"/>
          <w:sz w:val="21"/>
          <w:szCs w:val="21"/>
        </w:rPr>
      </w:pPr>
      <w:r w:rsidRPr="00FD7AC6">
        <w:rPr>
          <w:rFonts w:ascii="Helvetica" w:eastAsia="Times New Roman" w:hAnsi="Helvetica" w:cs="Times New Roman"/>
          <w:color w:val="FFFFFF" w:themeColor="background1"/>
          <w:sz w:val="21"/>
          <w:szCs w:val="21"/>
        </w:rPr>
        <w:t>The passage for translation is 50–70 words at SL and 105–125 words at HL.</w:t>
      </w:r>
    </w:p>
    <w:p w:rsidR="00FD7AC6" w:rsidRPr="00FD7AC6" w:rsidRDefault="00FD7AC6" w:rsidP="00FD7AC6">
      <w:pPr>
        <w:shd w:val="clear" w:color="auto" w:fill="000066"/>
        <w:spacing w:before="360" w:after="150" w:line="600" w:lineRule="atLeast"/>
        <w:outlineLvl w:val="2"/>
        <w:rPr>
          <w:rFonts w:ascii="inherit" w:eastAsia="Times New Roman" w:hAnsi="inherit" w:cs="Times New Roman"/>
          <w:color w:val="FFFFFF" w:themeColor="background1"/>
          <w:sz w:val="38"/>
          <w:szCs w:val="38"/>
        </w:rPr>
      </w:pPr>
      <w:r w:rsidRPr="00FD7AC6">
        <w:rPr>
          <w:rFonts w:ascii="inherit" w:eastAsia="Times New Roman" w:hAnsi="inherit" w:cs="Times New Roman"/>
          <w:color w:val="FFFFFF" w:themeColor="background1"/>
          <w:sz w:val="38"/>
          <w:szCs w:val="38"/>
        </w:rPr>
        <w:t>Part 2: Study of literature</w:t>
      </w:r>
    </w:p>
    <w:p w:rsidR="00FD7AC6" w:rsidRPr="00FD7AC6" w:rsidRDefault="00FD7AC6" w:rsidP="00FD7AC6">
      <w:pPr>
        <w:shd w:val="clear" w:color="auto" w:fill="000066"/>
        <w:spacing w:after="150" w:line="300" w:lineRule="atLeast"/>
        <w:rPr>
          <w:rFonts w:ascii="Helvetica" w:eastAsia="Times New Roman" w:hAnsi="Helvetica" w:cs="Times New Roman"/>
          <w:color w:val="FFFFFF" w:themeColor="background1"/>
          <w:sz w:val="21"/>
          <w:szCs w:val="21"/>
        </w:rPr>
      </w:pPr>
      <w:r w:rsidRPr="00FD7AC6">
        <w:rPr>
          <w:rFonts w:ascii="Helvetica" w:eastAsia="Times New Roman" w:hAnsi="Helvetica" w:cs="Times New Roman"/>
          <w:color w:val="FFFFFF" w:themeColor="background1"/>
          <w:sz w:val="21"/>
          <w:szCs w:val="21"/>
        </w:rPr>
        <w:t>The main aim of this part of the syllabus is to give students some experience of classical literature in the original language. Prescribed passages in Latin or Classical Greek are grouped into options and must be studied in the original language; in addition, it is assumed that students at HL will undertake supplementary reading in translation. At SL and HL, knowledge of the historical, political and cultural background will be expected where this is essential for the understanding or appreciation of the text. HL candidates will also be required to demonstrate knowledge and understanding of texts within their broader historical, political and cultural contexts. HL paper 2 section B, the written response, assesses the ability to construct an argument supported by relevant examples from the prescribed passages and from supplementary reading.</w:t>
      </w:r>
    </w:p>
    <w:p w:rsidR="00FD7AC6" w:rsidRPr="00FD7AC6" w:rsidRDefault="00FD7AC6" w:rsidP="00FD7AC6">
      <w:pPr>
        <w:shd w:val="clear" w:color="auto" w:fill="000066"/>
        <w:spacing w:before="150" w:after="150" w:line="300" w:lineRule="atLeast"/>
        <w:outlineLvl w:val="3"/>
        <w:rPr>
          <w:rFonts w:ascii="inherit" w:eastAsia="Times New Roman" w:hAnsi="inherit" w:cs="Times New Roman"/>
          <w:b/>
          <w:bCs/>
          <w:color w:val="FFFFFF" w:themeColor="background1"/>
          <w:sz w:val="27"/>
          <w:szCs w:val="27"/>
        </w:rPr>
      </w:pPr>
      <w:r w:rsidRPr="00FD7AC6">
        <w:rPr>
          <w:rFonts w:ascii="inherit" w:eastAsia="Times New Roman" w:hAnsi="inherit" w:cs="Times New Roman"/>
          <w:b/>
          <w:bCs/>
          <w:color w:val="FFFFFF" w:themeColor="background1"/>
          <w:sz w:val="27"/>
          <w:szCs w:val="27"/>
        </w:rPr>
        <w:t>Options</w:t>
      </w:r>
    </w:p>
    <w:p w:rsidR="00FD7AC6" w:rsidRPr="00FD7AC6" w:rsidRDefault="00FD7AC6" w:rsidP="00FD7AC6">
      <w:pPr>
        <w:shd w:val="clear" w:color="auto" w:fill="000066"/>
        <w:spacing w:after="150" w:line="300" w:lineRule="atLeast"/>
        <w:rPr>
          <w:rFonts w:ascii="Helvetica" w:eastAsia="Times New Roman" w:hAnsi="Helvetica" w:cs="Times New Roman"/>
          <w:color w:val="FFFFFF" w:themeColor="background1"/>
          <w:sz w:val="21"/>
          <w:szCs w:val="21"/>
        </w:rPr>
      </w:pPr>
      <w:r w:rsidRPr="00FD7AC6">
        <w:rPr>
          <w:rFonts w:ascii="Helvetica" w:eastAsia="Times New Roman" w:hAnsi="Helvetica" w:cs="Times New Roman"/>
          <w:color w:val="FFFFFF" w:themeColor="background1"/>
          <w:sz w:val="21"/>
          <w:szCs w:val="21"/>
        </w:rPr>
        <w:t>Options for study in this section are comprised of readings taken from one or more authors. The options allow either for a more traditional approach or a theme-based approach through texts chosen from multiple authors. Teachers may prepare students for any two options. The prescribed list of options is available in this subject guide. The length of the readings is 300–350 lines at SL and 500–550 lines at HL.</w:t>
      </w:r>
    </w:p>
    <w:p w:rsidR="00FD7AC6" w:rsidRPr="00FD7AC6" w:rsidRDefault="00FD7AC6" w:rsidP="00FD7AC6">
      <w:pPr>
        <w:shd w:val="clear" w:color="auto" w:fill="000066"/>
        <w:spacing w:before="150" w:after="150" w:line="300" w:lineRule="atLeast"/>
        <w:outlineLvl w:val="3"/>
        <w:rPr>
          <w:rFonts w:ascii="inherit" w:eastAsia="Times New Roman" w:hAnsi="inherit" w:cs="Times New Roman"/>
          <w:b/>
          <w:bCs/>
          <w:color w:val="FFFFFF" w:themeColor="background1"/>
          <w:sz w:val="27"/>
          <w:szCs w:val="27"/>
        </w:rPr>
      </w:pPr>
      <w:r w:rsidRPr="00FD7AC6">
        <w:rPr>
          <w:rFonts w:ascii="inherit" w:eastAsia="Times New Roman" w:hAnsi="inherit" w:cs="Times New Roman"/>
          <w:b/>
          <w:bCs/>
          <w:color w:val="FFFFFF" w:themeColor="background1"/>
          <w:sz w:val="27"/>
          <w:szCs w:val="27"/>
        </w:rPr>
        <w:t>Suggested preparation</w:t>
      </w:r>
    </w:p>
    <w:p w:rsidR="00FD7AC6" w:rsidRPr="00FD7AC6" w:rsidRDefault="00FD7AC6" w:rsidP="00FD7AC6">
      <w:pPr>
        <w:shd w:val="clear" w:color="auto" w:fill="000066"/>
        <w:spacing w:after="150" w:line="300" w:lineRule="atLeast"/>
        <w:rPr>
          <w:rFonts w:ascii="Helvetica" w:eastAsia="Times New Roman" w:hAnsi="Helvetica" w:cs="Times New Roman"/>
          <w:color w:val="FFFFFF" w:themeColor="background1"/>
          <w:sz w:val="21"/>
          <w:szCs w:val="21"/>
        </w:rPr>
      </w:pPr>
      <w:r w:rsidRPr="00FD7AC6">
        <w:rPr>
          <w:rFonts w:ascii="Helvetica" w:eastAsia="Times New Roman" w:hAnsi="Helvetica" w:cs="Times New Roman"/>
          <w:color w:val="FFFFFF" w:themeColor="background1"/>
          <w:sz w:val="21"/>
          <w:szCs w:val="21"/>
        </w:rPr>
        <w:t>The prescribed passages should be studied in class under the direction of the teacher. This study requires careful note of stylistic, poetic and rhetorical nuances, in addition to grammatical and syntactical points. The students must read the texts closely, analysing critically each text's meanings, style, vocabulary and figures of speech. Both SL and HL students must develop some knowledge and understanding of texts within their historical, political and cultural contexts. HL students are expected to have broader background knowledge of each option. The most important preparation must be the careful study of the texts in the original language. Commentaries are very useful, and some modern works of criticism may also be helpful in developing the students’ understanding of the texts.</w:t>
      </w:r>
    </w:p>
    <w:tbl>
      <w:tblPr>
        <w:tblpPr w:leftFromText="180" w:rightFromText="180" w:vertAnchor="text" w:horzAnchor="margin" w:tblpXSpec="center" w:tblpY="-1439"/>
        <w:tblW w:w="11745"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565"/>
        <w:gridCol w:w="2295"/>
        <w:gridCol w:w="2295"/>
        <w:gridCol w:w="2295"/>
        <w:gridCol w:w="2295"/>
      </w:tblGrid>
      <w:tr w:rsidR="00FD7AC6" w:rsidRPr="00FD7AC6" w:rsidTr="00FD7AC6">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FD7AC6" w:rsidRPr="00FD7AC6" w:rsidRDefault="00FD7AC6" w:rsidP="00FD7AC6">
            <w:pPr>
              <w:spacing w:after="0" w:line="240" w:lineRule="auto"/>
              <w:rPr>
                <w:rFonts w:ascii="inherit" w:eastAsia="Times New Roman" w:hAnsi="inherit" w:cs="Times New Roman"/>
                <w:color w:val="333333"/>
                <w:sz w:val="21"/>
                <w:szCs w:val="21"/>
              </w:rPr>
            </w:pPr>
          </w:p>
        </w:tc>
        <w:tc>
          <w:tcPr>
            <w:tcW w:w="0" w:type="auto"/>
            <w:gridSpan w:val="2"/>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FD7AC6" w:rsidRPr="00FD7AC6" w:rsidRDefault="00FD7AC6" w:rsidP="00FD7AC6">
            <w:pPr>
              <w:spacing w:before="720" w:after="240" w:line="240" w:lineRule="auto"/>
              <w:ind w:right="300"/>
              <w:jc w:val="center"/>
              <w:rPr>
                <w:rFonts w:ascii="Times New Roman" w:eastAsia="Times New Roman" w:hAnsi="Times New Roman" w:cs="Times New Roman"/>
                <w:b/>
                <w:bCs/>
                <w:color w:val="FFFFFF"/>
                <w:sz w:val="24"/>
                <w:szCs w:val="24"/>
              </w:rPr>
            </w:pPr>
            <w:r w:rsidRPr="00FD7AC6">
              <w:rPr>
                <w:rFonts w:ascii="Times New Roman" w:eastAsia="Times New Roman" w:hAnsi="Times New Roman" w:cs="Times New Roman"/>
                <w:b/>
                <w:bCs/>
                <w:color w:val="FFFFFF"/>
                <w:sz w:val="24"/>
                <w:szCs w:val="24"/>
              </w:rPr>
              <w:t>List 1</w:t>
            </w:r>
          </w:p>
        </w:tc>
        <w:tc>
          <w:tcPr>
            <w:tcW w:w="0" w:type="auto"/>
            <w:gridSpan w:val="2"/>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FD7AC6" w:rsidRPr="00FD7AC6" w:rsidRDefault="00FD7AC6" w:rsidP="00FD7AC6">
            <w:pPr>
              <w:spacing w:before="720" w:after="240" w:line="240" w:lineRule="auto"/>
              <w:ind w:right="300"/>
              <w:jc w:val="center"/>
              <w:rPr>
                <w:rFonts w:ascii="Times New Roman" w:eastAsia="Times New Roman" w:hAnsi="Times New Roman" w:cs="Times New Roman"/>
                <w:b/>
                <w:bCs/>
                <w:color w:val="FFFFFF"/>
                <w:sz w:val="24"/>
                <w:szCs w:val="24"/>
              </w:rPr>
            </w:pPr>
            <w:r w:rsidRPr="00FD7AC6">
              <w:rPr>
                <w:rFonts w:ascii="Times New Roman" w:eastAsia="Times New Roman" w:hAnsi="Times New Roman" w:cs="Times New Roman"/>
                <w:b/>
                <w:bCs/>
                <w:color w:val="FFFFFF"/>
                <w:sz w:val="24"/>
                <w:szCs w:val="24"/>
              </w:rPr>
              <w:t>List 2</w:t>
            </w:r>
          </w:p>
        </w:tc>
      </w:tr>
      <w:tr w:rsidR="00FD7AC6" w:rsidRPr="00FD7AC6" w:rsidTr="00FD7AC6">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FD7AC6" w:rsidRPr="00FD7AC6" w:rsidRDefault="00FD7AC6" w:rsidP="00FD7AC6">
            <w:pPr>
              <w:spacing w:before="720" w:after="240" w:line="240" w:lineRule="auto"/>
              <w:ind w:right="300"/>
              <w:jc w:val="center"/>
              <w:rPr>
                <w:rFonts w:ascii="Times New Roman" w:eastAsia="Times New Roman" w:hAnsi="Times New Roman" w:cs="Times New Roman"/>
                <w:b/>
                <w:bCs/>
                <w:color w:val="FFFFFF"/>
                <w:sz w:val="24"/>
                <w:szCs w:val="24"/>
              </w:rPr>
            </w:pPr>
            <w:r w:rsidRPr="00FD7AC6">
              <w:rPr>
                <w:rFonts w:ascii="Times New Roman" w:eastAsia="Times New Roman" w:hAnsi="Times New Roman" w:cs="Times New Roman"/>
                <w:b/>
                <w:bCs/>
                <w:color w:val="FFFFFF"/>
                <w:sz w:val="24"/>
                <w:szCs w:val="24"/>
              </w:rPr>
              <w:t>Options</w:t>
            </w:r>
          </w:p>
        </w:tc>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FD7AC6" w:rsidRPr="00FD7AC6" w:rsidRDefault="00FD7AC6" w:rsidP="00FD7AC6">
            <w:pPr>
              <w:spacing w:before="720" w:after="240" w:line="240" w:lineRule="auto"/>
              <w:ind w:right="300"/>
              <w:jc w:val="center"/>
              <w:rPr>
                <w:rFonts w:ascii="Times New Roman" w:eastAsia="Times New Roman" w:hAnsi="Times New Roman" w:cs="Times New Roman"/>
                <w:b/>
                <w:bCs/>
                <w:color w:val="FFFFFF"/>
                <w:sz w:val="24"/>
                <w:szCs w:val="24"/>
              </w:rPr>
            </w:pPr>
            <w:r w:rsidRPr="00FD7AC6">
              <w:rPr>
                <w:rFonts w:ascii="Times New Roman" w:eastAsia="Times New Roman" w:hAnsi="Times New Roman" w:cs="Times New Roman"/>
                <w:b/>
                <w:bCs/>
                <w:color w:val="FFFFFF"/>
                <w:sz w:val="24"/>
                <w:szCs w:val="24"/>
              </w:rPr>
              <w:t>SL and HL </w:t>
            </w:r>
            <w:r w:rsidRPr="00FD7AC6">
              <w:rPr>
                <w:rFonts w:ascii="Times New Roman" w:eastAsia="Times New Roman" w:hAnsi="Times New Roman" w:cs="Times New Roman"/>
                <w:b/>
                <w:bCs/>
                <w:color w:val="FFFFFF"/>
                <w:sz w:val="24"/>
                <w:szCs w:val="24"/>
              </w:rPr>
              <w:br/>
              <w:t>(for examinations in: 2016, 2017, 2018)</w:t>
            </w:r>
          </w:p>
        </w:tc>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FD7AC6" w:rsidRPr="00FD7AC6" w:rsidRDefault="00FD7AC6" w:rsidP="00FD7AC6">
            <w:pPr>
              <w:spacing w:before="720" w:after="240" w:line="240" w:lineRule="auto"/>
              <w:ind w:right="300"/>
              <w:jc w:val="center"/>
              <w:rPr>
                <w:rFonts w:ascii="Times New Roman" w:eastAsia="Times New Roman" w:hAnsi="Times New Roman" w:cs="Times New Roman"/>
                <w:b/>
                <w:bCs/>
                <w:color w:val="FFFFFF"/>
                <w:sz w:val="24"/>
                <w:szCs w:val="24"/>
              </w:rPr>
            </w:pPr>
            <w:r w:rsidRPr="00FD7AC6">
              <w:rPr>
                <w:rFonts w:ascii="Times New Roman" w:eastAsia="Times New Roman" w:hAnsi="Times New Roman" w:cs="Times New Roman"/>
                <w:b/>
                <w:bCs/>
                <w:color w:val="FFFFFF"/>
                <w:sz w:val="24"/>
                <w:szCs w:val="24"/>
              </w:rPr>
              <w:t>HL </w:t>
            </w:r>
            <w:r w:rsidRPr="00FD7AC6">
              <w:rPr>
                <w:rFonts w:ascii="Times New Roman" w:eastAsia="Times New Roman" w:hAnsi="Times New Roman" w:cs="Times New Roman"/>
                <w:b/>
                <w:bCs/>
                <w:color w:val="FFFFFF"/>
                <w:sz w:val="24"/>
                <w:szCs w:val="24"/>
              </w:rPr>
              <w:br/>
              <w:t>(for examinations in: 2016, 2017, 2018)</w:t>
            </w:r>
          </w:p>
        </w:tc>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FD7AC6" w:rsidRPr="00FD7AC6" w:rsidRDefault="00FD7AC6" w:rsidP="00FD7AC6">
            <w:pPr>
              <w:spacing w:before="720" w:after="240" w:line="240" w:lineRule="auto"/>
              <w:ind w:right="300"/>
              <w:jc w:val="center"/>
              <w:rPr>
                <w:rFonts w:ascii="Times New Roman" w:eastAsia="Times New Roman" w:hAnsi="Times New Roman" w:cs="Times New Roman"/>
                <w:b/>
                <w:bCs/>
                <w:color w:val="FFFFFF"/>
                <w:sz w:val="24"/>
                <w:szCs w:val="24"/>
              </w:rPr>
            </w:pPr>
            <w:r w:rsidRPr="00FD7AC6">
              <w:rPr>
                <w:rFonts w:ascii="Times New Roman" w:eastAsia="Times New Roman" w:hAnsi="Times New Roman" w:cs="Times New Roman"/>
                <w:b/>
                <w:bCs/>
                <w:color w:val="FFFFFF"/>
                <w:sz w:val="24"/>
                <w:szCs w:val="24"/>
              </w:rPr>
              <w:t>SL and HL </w:t>
            </w:r>
            <w:r w:rsidRPr="00FD7AC6">
              <w:rPr>
                <w:rFonts w:ascii="Times New Roman" w:eastAsia="Times New Roman" w:hAnsi="Times New Roman" w:cs="Times New Roman"/>
                <w:b/>
                <w:bCs/>
                <w:color w:val="FFFFFF"/>
                <w:sz w:val="24"/>
                <w:szCs w:val="24"/>
              </w:rPr>
              <w:br/>
              <w:t>(for examinations in: 2019, 2020, 2021)</w:t>
            </w:r>
          </w:p>
        </w:tc>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FD7AC6" w:rsidRPr="00FD7AC6" w:rsidRDefault="00FD7AC6" w:rsidP="00FD7AC6">
            <w:pPr>
              <w:spacing w:before="720" w:after="240" w:line="240" w:lineRule="auto"/>
              <w:ind w:right="300"/>
              <w:jc w:val="center"/>
              <w:rPr>
                <w:rFonts w:ascii="Times New Roman" w:eastAsia="Times New Roman" w:hAnsi="Times New Roman" w:cs="Times New Roman"/>
                <w:b/>
                <w:bCs/>
                <w:color w:val="FFFFFF"/>
                <w:sz w:val="24"/>
                <w:szCs w:val="24"/>
              </w:rPr>
            </w:pPr>
            <w:r w:rsidRPr="00FD7AC6">
              <w:rPr>
                <w:rFonts w:ascii="Times New Roman" w:eastAsia="Times New Roman" w:hAnsi="Times New Roman" w:cs="Times New Roman"/>
                <w:b/>
                <w:bCs/>
                <w:color w:val="FFFFFF"/>
                <w:sz w:val="24"/>
                <w:szCs w:val="24"/>
              </w:rPr>
              <w:t>HL </w:t>
            </w:r>
            <w:r w:rsidRPr="00FD7AC6">
              <w:rPr>
                <w:rFonts w:ascii="Times New Roman" w:eastAsia="Times New Roman" w:hAnsi="Times New Roman" w:cs="Times New Roman"/>
                <w:b/>
                <w:bCs/>
                <w:color w:val="FFFFFF"/>
                <w:sz w:val="24"/>
                <w:szCs w:val="24"/>
              </w:rPr>
              <w:br/>
              <w:t>(for examinations in: 2019, 2020, 2021)</w:t>
            </w:r>
          </w:p>
        </w:tc>
      </w:tr>
      <w:tr w:rsidR="00FD7AC6" w:rsidRPr="00FD7AC6" w:rsidTr="00FD7AC6">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FD7AC6" w:rsidRPr="00FD7AC6" w:rsidRDefault="00FD7AC6" w:rsidP="00FD7AC6">
            <w:pPr>
              <w:spacing w:before="720" w:after="240" w:line="240" w:lineRule="auto"/>
              <w:ind w:right="300"/>
              <w:rPr>
                <w:rFonts w:ascii="Times New Roman" w:eastAsia="Times New Roman" w:hAnsi="Times New Roman" w:cs="Times New Roman"/>
                <w:b/>
                <w:bCs/>
                <w:color w:val="FFFFFF"/>
                <w:sz w:val="24"/>
                <w:szCs w:val="24"/>
              </w:rPr>
            </w:pPr>
            <w:r w:rsidRPr="00FD7AC6">
              <w:rPr>
                <w:rFonts w:ascii="Times New Roman" w:eastAsia="Times New Roman" w:hAnsi="Times New Roman" w:cs="Times New Roman"/>
                <w:b/>
                <w:bCs/>
                <w:color w:val="FFFFFF"/>
                <w:sz w:val="24"/>
                <w:szCs w:val="24"/>
              </w:rPr>
              <w:t>A </w:t>
            </w:r>
            <w:r w:rsidRPr="00FD7AC6">
              <w:rPr>
                <w:rFonts w:ascii="Times New Roman" w:eastAsia="Times New Roman" w:hAnsi="Times New Roman" w:cs="Times New Roman"/>
                <w:b/>
                <w:bCs/>
                <w:color w:val="FFFFFF"/>
                <w:sz w:val="24"/>
                <w:szCs w:val="24"/>
              </w:rPr>
              <w:br/>
              <w:t>Vergil</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before="720" w:after="24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Vergil, </w:t>
            </w:r>
            <w:r w:rsidRPr="00FD7AC6">
              <w:rPr>
                <w:rFonts w:ascii="Times New Roman" w:eastAsia="Times New Roman" w:hAnsi="Times New Roman" w:cs="Times New Roman"/>
                <w:i/>
                <w:iCs/>
                <w:sz w:val="24"/>
                <w:szCs w:val="24"/>
              </w:rPr>
              <w:t>Aeneid</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1.1–49, 223–493</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before="720" w:after="24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Vergil, </w:t>
            </w:r>
            <w:r w:rsidRPr="00FD7AC6">
              <w:rPr>
                <w:rFonts w:ascii="Times New Roman" w:eastAsia="Times New Roman" w:hAnsi="Times New Roman" w:cs="Times New Roman"/>
                <w:i/>
                <w:iCs/>
                <w:sz w:val="24"/>
                <w:szCs w:val="24"/>
              </w:rPr>
              <w:t>Georgics</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4.315–529</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before="720" w:after="24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Vergil, </w:t>
            </w:r>
            <w:r w:rsidRPr="00FD7AC6">
              <w:rPr>
                <w:rFonts w:ascii="Times New Roman" w:eastAsia="Times New Roman" w:hAnsi="Times New Roman" w:cs="Times New Roman"/>
                <w:i/>
                <w:iCs/>
                <w:sz w:val="24"/>
                <w:szCs w:val="24"/>
              </w:rPr>
              <w:t>Aeneid</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12.614–952</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before="720" w:after="24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Vergil, </w:t>
            </w:r>
            <w:r w:rsidRPr="00FD7AC6">
              <w:rPr>
                <w:rFonts w:ascii="Times New Roman" w:eastAsia="Times New Roman" w:hAnsi="Times New Roman" w:cs="Times New Roman"/>
                <w:i/>
                <w:iCs/>
                <w:sz w:val="24"/>
                <w:szCs w:val="24"/>
              </w:rPr>
              <w:t>Eclogues</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1, 6</w:t>
            </w:r>
          </w:p>
        </w:tc>
      </w:tr>
      <w:tr w:rsidR="00FD7AC6" w:rsidRPr="00FD7AC6" w:rsidTr="00FD7AC6">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FD7AC6" w:rsidRPr="00FD7AC6" w:rsidRDefault="00FD7AC6" w:rsidP="00FD7AC6">
            <w:pPr>
              <w:spacing w:before="720" w:after="240" w:line="240" w:lineRule="auto"/>
              <w:ind w:right="300"/>
              <w:rPr>
                <w:rFonts w:ascii="Times New Roman" w:eastAsia="Times New Roman" w:hAnsi="Times New Roman" w:cs="Times New Roman"/>
                <w:b/>
                <w:bCs/>
                <w:color w:val="FFFFFF"/>
                <w:sz w:val="24"/>
                <w:szCs w:val="24"/>
              </w:rPr>
            </w:pPr>
            <w:r w:rsidRPr="00FD7AC6">
              <w:rPr>
                <w:rFonts w:ascii="Times New Roman" w:eastAsia="Times New Roman" w:hAnsi="Times New Roman" w:cs="Times New Roman"/>
                <w:b/>
                <w:bCs/>
                <w:color w:val="FFFFFF"/>
                <w:sz w:val="24"/>
                <w:szCs w:val="24"/>
              </w:rPr>
              <w:t>B </w:t>
            </w:r>
            <w:r w:rsidRPr="00FD7AC6">
              <w:rPr>
                <w:rFonts w:ascii="Times New Roman" w:eastAsia="Times New Roman" w:hAnsi="Times New Roman" w:cs="Times New Roman"/>
                <w:b/>
                <w:bCs/>
                <w:color w:val="FFFFFF"/>
                <w:sz w:val="24"/>
                <w:szCs w:val="24"/>
              </w:rPr>
              <w:br/>
              <w:t>History</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before="720" w:after="24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Tacitus, </w:t>
            </w:r>
            <w:r w:rsidRPr="00FD7AC6">
              <w:rPr>
                <w:rFonts w:ascii="Times New Roman" w:eastAsia="Times New Roman" w:hAnsi="Times New Roman" w:cs="Times New Roman"/>
                <w:i/>
                <w:iCs/>
                <w:sz w:val="24"/>
                <w:szCs w:val="24"/>
              </w:rPr>
              <w:t>Annals</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2.70–73, 82–83; 3.1–6, 10–18</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before="720" w:after="24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Suetonius, </w:t>
            </w:r>
            <w:r w:rsidRPr="00FD7AC6">
              <w:rPr>
                <w:rFonts w:ascii="Times New Roman" w:eastAsia="Times New Roman" w:hAnsi="Times New Roman" w:cs="Times New Roman"/>
                <w:i/>
                <w:iCs/>
                <w:sz w:val="24"/>
                <w:szCs w:val="24"/>
              </w:rPr>
              <w:t>Tiberius</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22–26, 33–36, 39–42, 52–53</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before="720" w:after="24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Caesar, </w:t>
            </w:r>
            <w:r w:rsidRPr="00FD7AC6">
              <w:rPr>
                <w:rFonts w:ascii="Times New Roman" w:eastAsia="Times New Roman" w:hAnsi="Times New Roman" w:cs="Times New Roman"/>
                <w:i/>
                <w:iCs/>
                <w:sz w:val="24"/>
                <w:szCs w:val="24"/>
              </w:rPr>
              <w:t>De Bello Gallico</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7.68–74, 76–90</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before="720" w:after="24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Livy, </w:t>
            </w:r>
            <w:r w:rsidRPr="00FD7AC6">
              <w:rPr>
                <w:rFonts w:ascii="Times New Roman" w:eastAsia="Times New Roman" w:hAnsi="Times New Roman" w:cs="Times New Roman"/>
                <w:i/>
                <w:iCs/>
                <w:sz w:val="24"/>
                <w:szCs w:val="24"/>
              </w:rPr>
              <w:t>Ab Urbe Condita</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22.3–7</w:t>
            </w:r>
          </w:p>
        </w:tc>
      </w:tr>
      <w:tr w:rsidR="00FD7AC6" w:rsidRPr="00FD7AC6" w:rsidTr="00FD7AC6">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FD7AC6" w:rsidRPr="00FD7AC6" w:rsidRDefault="00FD7AC6" w:rsidP="00FD7AC6">
            <w:pPr>
              <w:spacing w:before="720" w:after="240" w:line="240" w:lineRule="auto"/>
              <w:ind w:right="300"/>
              <w:rPr>
                <w:rFonts w:ascii="Times New Roman" w:eastAsia="Times New Roman" w:hAnsi="Times New Roman" w:cs="Times New Roman"/>
                <w:b/>
                <w:bCs/>
                <w:color w:val="FFFFFF"/>
                <w:sz w:val="24"/>
                <w:szCs w:val="24"/>
              </w:rPr>
            </w:pPr>
            <w:r w:rsidRPr="00FD7AC6">
              <w:rPr>
                <w:rFonts w:ascii="Times New Roman" w:eastAsia="Times New Roman" w:hAnsi="Times New Roman" w:cs="Times New Roman"/>
                <w:b/>
                <w:bCs/>
                <w:color w:val="FFFFFF"/>
                <w:sz w:val="24"/>
                <w:szCs w:val="24"/>
              </w:rPr>
              <w:t>C </w:t>
            </w:r>
            <w:r w:rsidRPr="00FD7AC6">
              <w:rPr>
                <w:rFonts w:ascii="Times New Roman" w:eastAsia="Times New Roman" w:hAnsi="Times New Roman" w:cs="Times New Roman"/>
                <w:b/>
                <w:bCs/>
                <w:color w:val="FFFFFF"/>
                <w:sz w:val="24"/>
                <w:szCs w:val="24"/>
              </w:rPr>
              <w:br/>
              <w:t>Love poetry</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after="15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Catullus, </w:t>
            </w:r>
            <w:r w:rsidRPr="00FD7AC6">
              <w:rPr>
                <w:rFonts w:ascii="Times New Roman" w:eastAsia="Times New Roman" w:hAnsi="Times New Roman" w:cs="Times New Roman"/>
                <w:i/>
                <w:iCs/>
                <w:sz w:val="24"/>
                <w:szCs w:val="24"/>
              </w:rPr>
              <w:t>Carmina</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3, 5, 7, 8, 9, 45, 50, 65, 72, 85, 86, 92, 107, 109</w:t>
            </w:r>
          </w:p>
          <w:p w:rsidR="00FD7AC6" w:rsidRPr="00FD7AC6" w:rsidRDefault="00FD7AC6" w:rsidP="00FD7AC6">
            <w:pPr>
              <w:spacing w:after="15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Propertius, </w:t>
            </w:r>
            <w:r w:rsidRPr="00FD7AC6">
              <w:rPr>
                <w:rFonts w:ascii="Times New Roman" w:eastAsia="Times New Roman" w:hAnsi="Times New Roman" w:cs="Times New Roman"/>
                <w:i/>
                <w:iCs/>
                <w:sz w:val="24"/>
                <w:szCs w:val="24"/>
              </w:rPr>
              <w:t>Elegies</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1.1; 2.12, 17, 19; 3.23</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after="15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Catullus, </w:t>
            </w:r>
            <w:r w:rsidRPr="00FD7AC6">
              <w:rPr>
                <w:rFonts w:ascii="Times New Roman" w:eastAsia="Times New Roman" w:hAnsi="Times New Roman" w:cs="Times New Roman"/>
                <w:i/>
                <w:iCs/>
                <w:sz w:val="24"/>
                <w:szCs w:val="24"/>
              </w:rPr>
              <w:t>Carmina</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76</w:t>
            </w:r>
          </w:p>
          <w:p w:rsidR="00FD7AC6" w:rsidRPr="00FD7AC6" w:rsidRDefault="00FD7AC6" w:rsidP="00FD7AC6">
            <w:pPr>
              <w:spacing w:after="15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Tibullus, </w:t>
            </w:r>
            <w:r w:rsidRPr="00FD7AC6">
              <w:rPr>
                <w:rFonts w:ascii="Times New Roman" w:eastAsia="Times New Roman" w:hAnsi="Times New Roman" w:cs="Times New Roman"/>
                <w:i/>
                <w:iCs/>
                <w:sz w:val="24"/>
                <w:szCs w:val="24"/>
              </w:rPr>
              <w:t>Elegies</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1.1; 3.2, 3, 13, 14, 15, 16, 17, 18</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after="15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Catullus, </w:t>
            </w:r>
            <w:r w:rsidRPr="00FD7AC6">
              <w:rPr>
                <w:rFonts w:ascii="Times New Roman" w:eastAsia="Times New Roman" w:hAnsi="Times New Roman" w:cs="Times New Roman"/>
                <w:i/>
                <w:iCs/>
                <w:sz w:val="24"/>
                <w:szCs w:val="24"/>
              </w:rPr>
              <w:t>Carmina</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2, 13, 35, 40, 51, 62, 67, 70, 75, 87, 96, 99, 110</w:t>
            </w:r>
          </w:p>
          <w:p w:rsidR="00FD7AC6" w:rsidRPr="00FD7AC6" w:rsidRDefault="00FD7AC6" w:rsidP="00FD7AC6">
            <w:pPr>
              <w:spacing w:after="15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Horace, </w:t>
            </w:r>
            <w:r w:rsidRPr="00FD7AC6">
              <w:rPr>
                <w:rFonts w:ascii="Times New Roman" w:eastAsia="Times New Roman" w:hAnsi="Times New Roman" w:cs="Times New Roman"/>
                <w:i/>
                <w:iCs/>
                <w:sz w:val="24"/>
                <w:szCs w:val="24"/>
              </w:rPr>
              <w:t>Carmina</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1.5, 13, 22; 3.26; 4.1</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after="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Ovid, </w:t>
            </w:r>
            <w:r w:rsidRPr="00FD7AC6">
              <w:rPr>
                <w:rFonts w:ascii="Times New Roman" w:eastAsia="Times New Roman" w:hAnsi="Times New Roman" w:cs="Times New Roman"/>
                <w:i/>
                <w:iCs/>
                <w:sz w:val="24"/>
                <w:szCs w:val="24"/>
              </w:rPr>
              <w:t>Amores</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1.1, 3, 4, 6</w:t>
            </w:r>
          </w:p>
        </w:tc>
      </w:tr>
      <w:tr w:rsidR="00FD7AC6" w:rsidRPr="00FD7AC6" w:rsidTr="00FD7AC6">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FD7AC6" w:rsidRPr="00FD7AC6" w:rsidRDefault="00FD7AC6" w:rsidP="00FD7AC6">
            <w:pPr>
              <w:spacing w:after="0" w:line="240" w:lineRule="auto"/>
              <w:ind w:right="300"/>
              <w:rPr>
                <w:rFonts w:ascii="Times New Roman" w:eastAsia="Times New Roman" w:hAnsi="Times New Roman" w:cs="Times New Roman"/>
                <w:b/>
                <w:bCs/>
                <w:color w:val="FFFFFF"/>
                <w:sz w:val="24"/>
                <w:szCs w:val="24"/>
              </w:rPr>
            </w:pPr>
            <w:r w:rsidRPr="00FD7AC6">
              <w:rPr>
                <w:rFonts w:ascii="Times New Roman" w:eastAsia="Times New Roman" w:hAnsi="Times New Roman" w:cs="Times New Roman"/>
                <w:b/>
                <w:bCs/>
                <w:color w:val="FFFFFF"/>
                <w:sz w:val="24"/>
                <w:szCs w:val="24"/>
              </w:rPr>
              <w:t>D </w:t>
            </w:r>
            <w:r w:rsidRPr="00FD7AC6">
              <w:rPr>
                <w:rFonts w:ascii="Times New Roman" w:eastAsia="Times New Roman" w:hAnsi="Times New Roman" w:cs="Times New Roman"/>
                <w:b/>
                <w:bCs/>
                <w:color w:val="FFFFFF"/>
                <w:sz w:val="24"/>
                <w:szCs w:val="24"/>
              </w:rPr>
              <w:br/>
              <w:t>Women</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after="15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Ovid, </w:t>
            </w:r>
            <w:r w:rsidRPr="00FD7AC6">
              <w:rPr>
                <w:rFonts w:ascii="Times New Roman" w:eastAsia="Times New Roman" w:hAnsi="Times New Roman" w:cs="Times New Roman"/>
                <w:i/>
                <w:iCs/>
                <w:sz w:val="24"/>
                <w:szCs w:val="24"/>
              </w:rPr>
              <w:t>Heroides</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1</w:t>
            </w:r>
          </w:p>
          <w:p w:rsidR="00FD7AC6" w:rsidRPr="00FD7AC6" w:rsidRDefault="00FD7AC6" w:rsidP="00FD7AC6">
            <w:pPr>
              <w:spacing w:after="15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Livy, </w:t>
            </w:r>
            <w:r w:rsidRPr="00FD7AC6">
              <w:rPr>
                <w:rFonts w:ascii="Times New Roman" w:eastAsia="Times New Roman" w:hAnsi="Times New Roman" w:cs="Times New Roman"/>
                <w:i/>
                <w:iCs/>
                <w:sz w:val="24"/>
                <w:szCs w:val="24"/>
              </w:rPr>
              <w:t>Ab Urbe Condita</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2.13</w:t>
            </w:r>
          </w:p>
          <w:p w:rsidR="00FD7AC6" w:rsidRPr="00FD7AC6" w:rsidRDefault="00FD7AC6" w:rsidP="00FD7AC6">
            <w:pPr>
              <w:spacing w:after="15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Cicero, </w:t>
            </w:r>
            <w:r w:rsidRPr="00FD7AC6">
              <w:rPr>
                <w:rFonts w:ascii="Times New Roman" w:eastAsia="Times New Roman" w:hAnsi="Times New Roman" w:cs="Times New Roman"/>
                <w:i/>
                <w:iCs/>
                <w:sz w:val="24"/>
                <w:szCs w:val="24"/>
              </w:rPr>
              <w:t>Pro Caelio</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35–40</w:t>
            </w:r>
          </w:p>
          <w:p w:rsidR="00FD7AC6" w:rsidRPr="00FD7AC6" w:rsidRDefault="00FD7AC6" w:rsidP="00FD7AC6">
            <w:pPr>
              <w:spacing w:after="15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Vergil, </w:t>
            </w:r>
            <w:r w:rsidRPr="00FD7AC6">
              <w:rPr>
                <w:rFonts w:ascii="Times New Roman" w:eastAsia="Times New Roman" w:hAnsi="Times New Roman" w:cs="Times New Roman"/>
                <w:i/>
                <w:iCs/>
                <w:sz w:val="24"/>
                <w:szCs w:val="24"/>
              </w:rPr>
              <w:t>Aeneid</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11. 648–724</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after="15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Horace, </w:t>
            </w:r>
            <w:r w:rsidRPr="00FD7AC6">
              <w:rPr>
                <w:rFonts w:ascii="Times New Roman" w:eastAsia="Times New Roman" w:hAnsi="Times New Roman" w:cs="Times New Roman"/>
                <w:i/>
                <w:iCs/>
                <w:sz w:val="24"/>
                <w:szCs w:val="24"/>
              </w:rPr>
              <w:t>Carmina</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1.37</w:t>
            </w:r>
          </w:p>
          <w:p w:rsidR="00FD7AC6" w:rsidRPr="00FD7AC6" w:rsidRDefault="00FD7AC6" w:rsidP="00FD7AC6">
            <w:pPr>
              <w:spacing w:after="15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Propertius, </w:t>
            </w:r>
            <w:r w:rsidRPr="00FD7AC6">
              <w:rPr>
                <w:rFonts w:ascii="Times New Roman" w:eastAsia="Times New Roman" w:hAnsi="Times New Roman" w:cs="Times New Roman"/>
                <w:i/>
                <w:iCs/>
                <w:sz w:val="24"/>
                <w:szCs w:val="24"/>
              </w:rPr>
              <w:t>Elegies</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3.11</w:t>
            </w:r>
          </w:p>
          <w:p w:rsidR="00FD7AC6" w:rsidRPr="00FD7AC6" w:rsidRDefault="00FD7AC6" w:rsidP="00FD7AC6">
            <w:pPr>
              <w:spacing w:after="15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Catullus, </w:t>
            </w:r>
            <w:r w:rsidRPr="00FD7AC6">
              <w:rPr>
                <w:rFonts w:ascii="Times New Roman" w:eastAsia="Times New Roman" w:hAnsi="Times New Roman" w:cs="Times New Roman"/>
                <w:i/>
                <w:iCs/>
                <w:sz w:val="24"/>
                <w:szCs w:val="24"/>
              </w:rPr>
              <w:t>Carmina</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64. 48–158</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after="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Not offered</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after="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Not offered</w:t>
            </w:r>
          </w:p>
        </w:tc>
      </w:tr>
      <w:tr w:rsidR="00FD7AC6" w:rsidRPr="00FD7AC6" w:rsidTr="00FD7AC6">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FD7AC6" w:rsidRPr="00FD7AC6" w:rsidRDefault="00FD7AC6" w:rsidP="00FD7AC6">
            <w:pPr>
              <w:spacing w:after="0" w:line="240" w:lineRule="auto"/>
              <w:ind w:right="300"/>
              <w:rPr>
                <w:rFonts w:ascii="Times New Roman" w:eastAsia="Times New Roman" w:hAnsi="Times New Roman" w:cs="Times New Roman"/>
                <w:b/>
                <w:bCs/>
                <w:color w:val="FFFFFF"/>
                <w:sz w:val="24"/>
                <w:szCs w:val="24"/>
              </w:rPr>
            </w:pPr>
            <w:r w:rsidRPr="00FD7AC6">
              <w:rPr>
                <w:rFonts w:ascii="Times New Roman" w:eastAsia="Times New Roman" w:hAnsi="Times New Roman" w:cs="Times New Roman"/>
                <w:b/>
                <w:bCs/>
                <w:color w:val="FFFFFF"/>
                <w:sz w:val="24"/>
                <w:szCs w:val="24"/>
              </w:rPr>
              <w:t>E </w:t>
            </w:r>
            <w:r w:rsidRPr="00FD7AC6">
              <w:rPr>
                <w:rFonts w:ascii="Times New Roman" w:eastAsia="Times New Roman" w:hAnsi="Times New Roman" w:cs="Times New Roman"/>
                <w:b/>
                <w:bCs/>
                <w:color w:val="FFFFFF"/>
                <w:sz w:val="24"/>
                <w:szCs w:val="24"/>
              </w:rPr>
              <w:br/>
              <w:t>Social criticism</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after="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Not offered</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after="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Not offered</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after="15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Horace, </w:t>
            </w:r>
            <w:r w:rsidRPr="00FD7AC6">
              <w:rPr>
                <w:rFonts w:ascii="Times New Roman" w:eastAsia="Times New Roman" w:hAnsi="Times New Roman" w:cs="Times New Roman"/>
                <w:i/>
                <w:iCs/>
                <w:sz w:val="24"/>
                <w:szCs w:val="24"/>
              </w:rPr>
              <w:t>Epodes</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7, 16</w:t>
            </w:r>
          </w:p>
          <w:p w:rsidR="00FD7AC6" w:rsidRPr="00FD7AC6" w:rsidRDefault="00FD7AC6" w:rsidP="00FD7AC6">
            <w:pPr>
              <w:spacing w:after="15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Horace, </w:t>
            </w:r>
            <w:r w:rsidRPr="00FD7AC6">
              <w:rPr>
                <w:rFonts w:ascii="Times New Roman" w:eastAsia="Times New Roman" w:hAnsi="Times New Roman" w:cs="Times New Roman"/>
                <w:i/>
                <w:iCs/>
                <w:sz w:val="24"/>
                <w:szCs w:val="24"/>
              </w:rPr>
              <w:t>Satire</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1.6</w:t>
            </w:r>
          </w:p>
          <w:p w:rsidR="00FD7AC6" w:rsidRPr="00FD7AC6" w:rsidRDefault="00FD7AC6" w:rsidP="00FD7AC6">
            <w:pPr>
              <w:spacing w:after="15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lastRenderedPageBreak/>
              <w:t>Martial, </w:t>
            </w:r>
            <w:r w:rsidRPr="00FD7AC6">
              <w:rPr>
                <w:rFonts w:ascii="Times New Roman" w:eastAsia="Times New Roman" w:hAnsi="Times New Roman" w:cs="Times New Roman"/>
                <w:i/>
                <w:iCs/>
                <w:sz w:val="24"/>
                <w:szCs w:val="24"/>
              </w:rPr>
              <w:t>Epigrams</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1.35, 41; 6.64; 10.10, 20; 12.61</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after="15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lastRenderedPageBreak/>
              <w:t>Horace, </w:t>
            </w:r>
            <w:r w:rsidRPr="00FD7AC6">
              <w:rPr>
                <w:rFonts w:ascii="Times New Roman" w:eastAsia="Times New Roman" w:hAnsi="Times New Roman" w:cs="Times New Roman"/>
                <w:i/>
                <w:iCs/>
                <w:sz w:val="24"/>
                <w:szCs w:val="24"/>
              </w:rPr>
              <w:t>Carmina</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1.2</w:t>
            </w:r>
          </w:p>
          <w:p w:rsidR="00FD7AC6" w:rsidRPr="00FD7AC6" w:rsidRDefault="00FD7AC6" w:rsidP="00FD7AC6">
            <w:pPr>
              <w:spacing w:after="15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Martial, </w:t>
            </w:r>
            <w:r w:rsidRPr="00FD7AC6">
              <w:rPr>
                <w:rFonts w:ascii="Times New Roman" w:eastAsia="Times New Roman" w:hAnsi="Times New Roman" w:cs="Times New Roman"/>
                <w:i/>
                <w:iCs/>
                <w:sz w:val="24"/>
                <w:szCs w:val="24"/>
              </w:rPr>
              <w:t>Epigrams</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11.6, 32, 56, 98</w:t>
            </w:r>
          </w:p>
        </w:tc>
      </w:tr>
      <w:tr w:rsidR="00FD7AC6" w:rsidRPr="00FD7AC6" w:rsidTr="00FD7AC6">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FD7AC6" w:rsidRPr="00FD7AC6" w:rsidRDefault="00FD7AC6" w:rsidP="00FD7AC6">
            <w:pPr>
              <w:spacing w:after="0" w:line="240" w:lineRule="auto"/>
              <w:ind w:right="300"/>
              <w:rPr>
                <w:rFonts w:ascii="Times New Roman" w:eastAsia="Times New Roman" w:hAnsi="Times New Roman" w:cs="Times New Roman"/>
                <w:b/>
                <w:bCs/>
                <w:color w:val="FFFFFF"/>
                <w:sz w:val="24"/>
                <w:szCs w:val="24"/>
              </w:rPr>
            </w:pPr>
            <w:r w:rsidRPr="00FD7AC6">
              <w:rPr>
                <w:rFonts w:ascii="Times New Roman" w:eastAsia="Times New Roman" w:hAnsi="Times New Roman" w:cs="Times New Roman"/>
                <w:b/>
                <w:bCs/>
                <w:color w:val="FFFFFF"/>
                <w:sz w:val="24"/>
                <w:szCs w:val="24"/>
              </w:rPr>
              <w:lastRenderedPageBreak/>
              <w:t>F </w:t>
            </w:r>
            <w:r w:rsidRPr="00FD7AC6">
              <w:rPr>
                <w:rFonts w:ascii="Times New Roman" w:eastAsia="Times New Roman" w:hAnsi="Times New Roman" w:cs="Times New Roman"/>
                <w:b/>
                <w:bCs/>
                <w:color w:val="FFFFFF"/>
                <w:sz w:val="24"/>
                <w:szCs w:val="24"/>
              </w:rPr>
              <w:br/>
              <w:t>Good living</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after="15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Lucretius, </w:t>
            </w:r>
            <w:r w:rsidRPr="00FD7AC6">
              <w:rPr>
                <w:rFonts w:ascii="Times New Roman" w:eastAsia="Times New Roman" w:hAnsi="Times New Roman" w:cs="Times New Roman"/>
                <w:i/>
                <w:iCs/>
                <w:sz w:val="24"/>
                <w:szCs w:val="24"/>
              </w:rPr>
              <w:t>De Rerum Natura</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1.54–135; 2.1–61</w:t>
            </w:r>
          </w:p>
          <w:p w:rsidR="00FD7AC6" w:rsidRPr="00FD7AC6" w:rsidRDefault="00FD7AC6" w:rsidP="00FD7AC6">
            <w:pPr>
              <w:spacing w:after="15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Horace, </w:t>
            </w:r>
            <w:r w:rsidRPr="00FD7AC6">
              <w:rPr>
                <w:rFonts w:ascii="Times New Roman" w:eastAsia="Times New Roman" w:hAnsi="Times New Roman" w:cs="Times New Roman"/>
                <w:i/>
                <w:iCs/>
                <w:sz w:val="24"/>
                <w:szCs w:val="24"/>
              </w:rPr>
              <w:t>Carmina</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1.9; 2.16; 3.26; 4.7</w:t>
            </w:r>
          </w:p>
          <w:p w:rsidR="00FD7AC6" w:rsidRPr="00FD7AC6" w:rsidRDefault="00FD7AC6" w:rsidP="00FD7AC6">
            <w:pPr>
              <w:spacing w:after="15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Seneca, </w:t>
            </w:r>
            <w:r w:rsidRPr="00FD7AC6">
              <w:rPr>
                <w:rFonts w:ascii="Times New Roman" w:eastAsia="Times New Roman" w:hAnsi="Times New Roman" w:cs="Times New Roman"/>
                <w:i/>
                <w:iCs/>
                <w:sz w:val="24"/>
                <w:szCs w:val="24"/>
              </w:rPr>
              <w:t>Epistulae Morales</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1, 16</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after="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Seneca, </w:t>
            </w:r>
            <w:r w:rsidRPr="00FD7AC6">
              <w:rPr>
                <w:rFonts w:ascii="Times New Roman" w:eastAsia="Times New Roman" w:hAnsi="Times New Roman" w:cs="Times New Roman"/>
                <w:i/>
                <w:iCs/>
                <w:sz w:val="24"/>
                <w:szCs w:val="24"/>
              </w:rPr>
              <w:t>De Tranquillitate Animi</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2–3</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after="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Not offered</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after="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Not offered</w:t>
            </w:r>
          </w:p>
        </w:tc>
      </w:tr>
      <w:tr w:rsidR="00FD7AC6" w:rsidRPr="00FD7AC6" w:rsidTr="00FD7AC6">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FD7AC6" w:rsidRPr="00FD7AC6" w:rsidRDefault="00FD7AC6" w:rsidP="00FD7AC6">
            <w:pPr>
              <w:spacing w:after="0" w:line="240" w:lineRule="auto"/>
              <w:ind w:right="300"/>
              <w:rPr>
                <w:rFonts w:ascii="Times New Roman" w:eastAsia="Times New Roman" w:hAnsi="Times New Roman" w:cs="Times New Roman"/>
                <w:b/>
                <w:bCs/>
                <w:color w:val="FFFFFF"/>
                <w:sz w:val="24"/>
                <w:szCs w:val="24"/>
              </w:rPr>
            </w:pPr>
            <w:r w:rsidRPr="00FD7AC6">
              <w:rPr>
                <w:rFonts w:ascii="Times New Roman" w:eastAsia="Times New Roman" w:hAnsi="Times New Roman" w:cs="Times New Roman"/>
                <w:b/>
                <w:bCs/>
                <w:color w:val="FFFFFF"/>
                <w:sz w:val="24"/>
                <w:szCs w:val="24"/>
              </w:rPr>
              <w:t>G </w:t>
            </w:r>
            <w:r w:rsidRPr="00FD7AC6">
              <w:rPr>
                <w:rFonts w:ascii="Times New Roman" w:eastAsia="Times New Roman" w:hAnsi="Times New Roman" w:cs="Times New Roman"/>
                <w:b/>
                <w:bCs/>
                <w:color w:val="FFFFFF"/>
                <w:sz w:val="24"/>
                <w:szCs w:val="24"/>
              </w:rPr>
              <w:br/>
              <w:t>Villains</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after="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Not offered</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after="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Not offered</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after="15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Vergil, </w:t>
            </w:r>
            <w:r w:rsidRPr="00FD7AC6">
              <w:rPr>
                <w:rFonts w:ascii="Times New Roman" w:eastAsia="Times New Roman" w:hAnsi="Times New Roman" w:cs="Times New Roman"/>
                <w:i/>
                <w:iCs/>
                <w:sz w:val="24"/>
                <w:szCs w:val="24"/>
              </w:rPr>
              <w:t>Aeneid</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10.689–768</w:t>
            </w:r>
          </w:p>
          <w:p w:rsidR="00FD7AC6" w:rsidRPr="00FD7AC6" w:rsidRDefault="00FD7AC6" w:rsidP="00FD7AC6">
            <w:pPr>
              <w:spacing w:after="15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Livy, </w:t>
            </w:r>
            <w:r w:rsidRPr="00FD7AC6">
              <w:rPr>
                <w:rFonts w:ascii="Times New Roman" w:eastAsia="Times New Roman" w:hAnsi="Times New Roman" w:cs="Times New Roman"/>
                <w:i/>
                <w:iCs/>
                <w:sz w:val="24"/>
                <w:szCs w:val="24"/>
              </w:rPr>
              <w:t>Ab Urbe Condita</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1.57–60</w:t>
            </w:r>
          </w:p>
          <w:p w:rsidR="00FD7AC6" w:rsidRPr="00FD7AC6" w:rsidRDefault="00FD7AC6" w:rsidP="00FD7AC6">
            <w:pPr>
              <w:spacing w:after="15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Sallust, </w:t>
            </w:r>
            <w:r w:rsidRPr="00FD7AC6">
              <w:rPr>
                <w:rFonts w:ascii="Times New Roman" w:eastAsia="Times New Roman" w:hAnsi="Times New Roman" w:cs="Times New Roman"/>
                <w:i/>
                <w:iCs/>
                <w:sz w:val="24"/>
                <w:szCs w:val="24"/>
              </w:rPr>
              <w:t>Bellum Catilinae</w:t>
            </w:r>
            <w:r w:rsidRPr="00FD7AC6">
              <w:rPr>
                <w:rFonts w:ascii="Times New Roman" w:eastAsia="Times New Roman" w:hAnsi="Times New Roman" w:cs="Times New Roman"/>
                <w:sz w:val="24"/>
                <w:szCs w:val="24"/>
              </w:rPr>
              <w:br/>
              <w:t>1–6</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after="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Livy, </w:t>
            </w:r>
            <w:r w:rsidRPr="00FD7AC6">
              <w:rPr>
                <w:rFonts w:ascii="Times New Roman" w:eastAsia="Times New Roman" w:hAnsi="Times New Roman" w:cs="Times New Roman"/>
                <w:i/>
                <w:iCs/>
                <w:sz w:val="24"/>
                <w:szCs w:val="24"/>
              </w:rPr>
              <w:t>Ab Urbe Condita</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3.44–48</w:t>
            </w:r>
          </w:p>
        </w:tc>
      </w:tr>
    </w:tbl>
    <w:p w:rsidR="00FD7AC6" w:rsidRPr="00FD7AC6" w:rsidRDefault="00FD7AC6" w:rsidP="00FD7AC6">
      <w:pPr>
        <w:shd w:val="clear" w:color="auto" w:fill="000066"/>
        <w:spacing w:after="150" w:line="300" w:lineRule="atLeast"/>
        <w:rPr>
          <w:rFonts w:ascii="Helvetica" w:eastAsia="Times New Roman" w:hAnsi="Helvetica" w:cs="Times New Roman"/>
          <w:color w:val="FFFFFF" w:themeColor="background1"/>
          <w:sz w:val="21"/>
          <w:szCs w:val="21"/>
        </w:rPr>
      </w:pPr>
      <w:r w:rsidRPr="00FD7AC6">
        <w:rPr>
          <w:rFonts w:ascii="Helvetica" w:eastAsia="Times New Roman" w:hAnsi="Helvetica" w:cs="Times New Roman"/>
          <w:color w:val="FFFFFF" w:themeColor="background1"/>
          <w:sz w:val="21"/>
          <w:szCs w:val="21"/>
        </w:rPr>
        <w:t>The use of dictionaries is </w:t>
      </w:r>
      <w:r w:rsidRPr="00FD7AC6">
        <w:rPr>
          <w:rFonts w:ascii="Helvetica" w:eastAsia="Times New Roman" w:hAnsi="Helvetica" w:cs="Times New Roman"/>
          <w:b/>
          <w:bCs/>
          <w:color w:val="FFFFFF" w:themeColor="background1"/>
          <w:sz w:val="21"/>
          <w:szCs w:val="21"/>
        </w:rPr>
        <w:t>not </w:t>
      </w:r>
      <w:r w:rsidRPr="00FD7AC6">
        <w:rPr>
          <w:rFonts w:ascii="Helvetica" w:eastAsia="Times New Roman" w:hAnsi="Helvetica" w:cs="Times New Roman"/>
          <w:color w:val="FFFFFF" w:themeColor="background1"/>
          <w:sz w:val="21"/>
          <w:szCs w:val="21"/>
        </w:rPr>
        <w:t>permitted for paper 2 during the final examination.</w:t>
      </w:r>
    </w:p>
    <w:p w:rsidR="00FD7AC6" w:rsidRPr="00FD7AC6" w:rsidRDefault="00FD7AC6" w:rsidP="00FD7AC6">
      <w:pPr>
        <w:shd w:val="clear" w:color="auto" w:fill="000066"/>
        <w:spacing w:before="150" w:after="150" w:line="300" w:lineRule="atLeast"/>
        <w:outlineLvl w:val="3"/>
        <w:rPr>
          <w:rFonts w:ascii="inherit" w:eastAsia="Times New Roman" w:hAnsi="inherit" w:cs="Times New Roman"/>
          <w:b/>
          <w:bCs/>
          <w:color w:val="FFFFFF" w:themeColor="background1"/>
          <w:sz w:val="27"/>
          <w:szCs w:val="27"/>
        </w:rPr>
      </w:pPr>
      <w:r w:rsidRPr="00FD7AC6">
        <w:rPr>
          <w:rFonts w:ascii="inherit" w:eastAsia="Times New Roman" w:hAnsi="inherit" w:cs="Times New Roman"/>
          <w:b/>
          <w:bCs/>
          <w:color w:val="FFFFFF" w:themeColor="background1"/>
          <w:sz w:val="27"/>
          <w:szCs w:val="27"/>
        </w:rPr>
        <w:t>Prescribed passages</w:t>
      </w:r>
    </w:p>
    <w:p w:rsidR="00FD7AC6" w:rsidRPr="00FD7AC6" w:rsidRDefault="00FD7AC6" w:rsidP="00FD7AC6">
      <w:pPr>
        <w:shd w:val="clear" w:color="auto" w:fill="000066"/>
        <w:spacing w:before="150" w:after="150" w:line="300" w:lineRule="atLeast"/>
        <w:outlineLvl w:val="4"/>
        <w:rPr>
          <w:rFonts w:ascii="inherit" w:eastAsia="Times New Roman" w:hAnsi="inherit" w:cs="Times New Roman"/>
          <w:b/>
          <w:bCs/>
          <w:color w:val="FFFFFF" w:themeColor="background1"/>
          <w:sz w:val="21"/>
          <w:szCs w:val="21"/>
        </w:rPr>
      </w:pPr>
      <w:r w:rsidRPr="00FD7AC6">
        <w:rPr>
          <w:rFonts w:ascii="inherit" w:eastAsia="Times New Roman" w:hAnsi="inherit" w:cs="Times New Roman"/>
          <w:b/>
          <w:bCs/>
          <w:color w:val="FFFFFF" w:themeColor="background1"/>
          <w:sz w:val="21"/>
          <w:szCs w:val="21"/>
        </w:rPr>
        <w:t>Latin</w:t>
      </w:r>
    </w:p>
    <w:p w:rsidR="00FD7AC6" w:rsidRPr="00FD7AC6" w:rsidRDefault="00FD7AC6" w:rsidP="00FD7AC6">
      <w:pPr>
        <w:shd w:val="clear" w:color="auto" w:fill="000066"/>
        <w:spacing w:before="150" w:after="150" w:line="300" w:lineRule="atLeast"/>
        <w:outlineLvl w:val="4"/>
        <w:rPr>
          <w:rFonts w:ascii="inherit" w:eastAsia="Times New Roman" w:hAnsi="inherit" w:cs="Times New Roman"/>
          <w:b/>
          <w:bCs/>
          <w:color w:val="FFFFFF" w:themeColor="background1"/>
          <w:sz w:val="21"/>
          <w:szCs w:val="21"/>
        </w:rPr>
      </w:pPr>
      <w:r w:rsidRPr="00FD7AC6">
        <w:rPr>
          <w:rFonts w:ascii="inherit" w:eastAsia="Times New Roman" w:hAnsi="inherit" w:cs="Times New Roman"/>
          <w:b/>
          <w:bCs/>
          <w:color w:val="FFFFFF" w:themeColor="background1"/>
          <w:sz w:val="21"/>
          <w:szCs w:val="21"/>
        </w:rPr>
        <w:t>Classical Greek</w:t>
      </w:r>
    </w:p>
    <w:tbl>
      <w:tblPr>
        <w:tblW w:w="11745"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798"/>
        <w:gridCol w:w="2364"/>
        <w:gridCol w:w="2457"/>
        <w:gridCol w:w="2563"/>
        <w:gridCol w:w="2563"/>
      </w:tblGrid>
      <w:tr w:rsidR="00FD7AC6" w:rsidRPr="00FD7AC6" w:rsidTr="00FD7AC6">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FD7AC6" w:rsidRPr="00FD7AC6" w:rsidRDefault="00FD7AC6" w:rsidP="00FD7AC6">
            <w:pPr>
              <w:spacing w:after="0" w:line="240" w:lineRule="auto"/>
              <w:rPr>
                <w:rFonts w:ascii="inherit" w:eastAsia="Times New Roman" w:hAnsi="inherit" w:cs="Times New Roman"/>
                <w:color w:val="333333"/>
                <w:sz w:val="21"/>
                <w:szCs w:val="21"/>
              </w:rPr>
            </w:pPr>
          </w:p>
        </w:tc>
        <w:tc>
          <w:tcPr>
            <w:tcW w:w="0" w:type="auto"/>
            <w:gridSpan w:val="2"/>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FD7AC6" w:rsidRPr="00FD7AC6" w:rsidRDefault="00FD7AC6" w:rsidP="00FD7AC6">
            <w:pPr>
              <w:spacing w:before="720" w:after="240" w:line="240" w:lineRule="auto"/>
              <w:ind w:right="300"/>
              <w:jc w:val="center"/>
              <w:rPr>
                <w:rFonts w:ascii="Times New Roman" w:eastAsia="Times New Roman" w:hAnsi="Times New Roman" w:cs="Times New Roman"/>
                <w:b/>
                <w:bCs/>
                <w:color w:val="FFFFFF"/>
                <w:sz w:val="24"/>
                <w:szCs w:val="24"/>
              </w:rPr>
            </w:pPr>
            <w:r w:rsidRPr="00FD7AC6">
              <w:rPr>
                <w:rFonts w:ascii="Times New Roman" w:eastAsia="Times New Roman" w:hAnsi="Times New Roman" w:cs="Times New Roman"/>
                <w:b/>
                <w:bCs/>
                <w:color w:val="FFFFFF"/>
                <w:sz w:val="24"/>
                <w:szCs w:val="24"/>
              </w:rPr>
              <w:t>List 1</w:t>
            </w:r>
          </w:p>
        </w:tc>
        <w:tc>
          <w:tcPr>
            <w:tcW w:w="0" w:type="auto"/>
            <w:gridSpan w:val="2"/>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FD7AC6" w:rsidRPr="00FD7AC6" w:rsidRDefault="00FD7AC6" w:rsidP="00FD7AC6">
            <w:pPr>
              <w:spacing w:before="720" w:after="240" w:line="240" w:lineRule="auto"/>
              <w:ind w:right="300"/>
              <w:jc w:val="center"/>
              <w:rPr>
                <w:rFonts w:ascii="Times New Roman" w:eastAsia="Times New Roman" w:hAnsi="Times New Roman" w:cs="Times New Roman"/>
                <w:b/>
                <w:bCs/>
                <w:color w:val="FFFFFF"/>
                <w:sz w:val="24"/>
                <w:szCs w:val="24"/>
              </w:rPr>
            </w:pPr>
            <w:r w:rsidRPr="00FD7AC6">
              <w:rPr>
                <w:rFonts w:ascii="Times New Roman" w:eastAsia="Times New Roman" w:hAnsi="Times New Roman" w:cs="Times New Roman"/>
                <w:b/>
                <w:bCs/>
                <w:color w:val="FFFFFF"/>
                <w:sz w:val="24"/>
                <w:szCs w:val="24"/>
              </w:rPr>
              <w:t>List 2</w:t>
            </w:r>
          </w:p>
        </w:tc>
      </w:tr>
      <w:tr w:rsidR="00FD7AC6" w:rsidRPr="00FD7AC6" w:rsidTr="00FD7AC6">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FD7AC6" w:rsidRPr="00FD7AC6" w:rsidRDefault="00FD7AC6" w:rsidP="00FD7AC6">
            <w:pPr>
              <w:spacing w:before="720" w:after="240" w:line="240" w:lineRule="auto"/>
              <w:ind w:right="300"/>
              <w:rPr>
                <w:rFonts w:ascii="Times New Roman" w:eastAsia="Times New Roman" w:hAnsi="Times New Roman" w:cs="Times New Roman"/>
                <w:b/>
                <w:bCs/>
                <w:color w:val="FFFFFF"/>
                <w:sz w:val="24"/>
                <w:szCs w:val="24"/>
              </w:rPr>
            </w:pPr>
            <w:r w:rsidRPr="00FD7AC6">
              <w:rPr>
                <w:rFonts w:ascii="Times New Roman" w:eastAsia="Times New Roman" w:hAnsi="Times New Roman" w:cs="Times New Roman"/>
                <w:b/>
                <w:bCs/>
                <w:color w:val="FFFFFF"/>
                <w:sz w:val="24"/>
                <w:szCs w:val="24"/>
              </w:rPr>
              <w:br/>
              <w:t>Options</w:t>
            </w:r>
          </w:p>
        </w:tc>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FD7AC6" w:rsidRPr="00FD7AC6" w:rsidRDefault="00FD7AC6" w:rsidP="00FD7AC6">
            <w:pPr>
              <w:spacing w:before="720" w:after="240" w:line="240" w:lineRule="auto"/>
              <w:ind w:right="300"/>
              <w:jc w:val="center"/>
              <w:rPr>
                <w:rFonts w:ascii="Times New Roman" w:eastAsia="Times New Roman" w:hAnsi="Times New Roman" w:cs="Times New Roman"/>
                <w:b/>
                <w:bCs/>
                <w:color w:val="FFFFFF"/>
                <w:sz w:val="24"/>
                <w:szCs w:val="24"/>
              </w:rPr>
            </w:pPr>
            <w:r w:rsidRPr="00FD7AC6">
              <w:rPr>
                <w:rFonts w:ascii="Times New Roman" w:eastAsia="Times New Roman" w:hAnsi="Times New Roman" w:cs="Times New Roman"/>
                <w:b/>
                <w:bCs/>
                <w:color w:val="FFFFFF"/>
                <w:sz w:val="24"/>
                <w:szCs w:val="24"/>
              </w:rPr>
              <w:t>SL and HL </w:t>
            </w:r>
            <w:r w:rsidRPr="00FD7AC6">
              <w:rPr>
                <w:rFonts w:ascii="Times New Roman" w:eastAsia="Times New Roman" w:hAnsi="Times New Roman" w:cs="Times New Roman"/>
                <w:b/>
                <w:bCs/>
                <w:color w:val="FFFFFF"/>
                <w:sz w:val="24"/>
                <w:szCs w:val="24"/>
              </w:rPr>
              <w:br/>
              <w:t>(for examinations in: 2016, 2017, 2018)</w:t>
            </w:r>
          </w:p>
        </w:tc>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FD7AC6" w:rsidRPr="00FD7AC6" w:rsidRDefault="00FD7AC6" w:rsidP="00FD7AC6">
            <w:pPr>
              <w:spacing w:before="720" w:after="240" w:line="240" w:lineRule="auto"/>
              <w:ind w:right="300"/>
              <w:jc w:val="center"/>
              <w:rPr>
                <w:rFonts w:ascii="Times New Roman" w:eastAsia="Times New Roman" w:hAnsi="Times New Roman" w:cs="Times New Roman"/>
                <w:b/>
                <w:bCs/>
                <w:color w:val="FFFFFF"/>
                <w:sz w:val="24"/>
                <w:szCs w:val="24"/>
              </w:rPr>
            </w:pPr>
            <w:r w:rsidRPr="00FD7AC6">
              <w:rPr>
                <w:rFonts w:ascii="Times New Roman" w:eastAsia="Times New Roman" w:hAnsi="Times New Roman" w:cs="Times New Roman"/>
                <w:b/>
                <w:bCs/>
                <w:color w:val="FFFFFF"/>
                <w:sz w:val="24"/>
                <w:szCs w:val="24"/>
              </w:rPr>
              <w:t>HL </w:t>
            </w:r>
            <w:r w:rsidRPr="00FD7AC6">
              <w:rPr>
                <w:rFonts w:ascii="Times New Roman" w:eastAsia="Times New Roman" w:hAnsi="Times New Roman" w:cs="Times New Roman"/>
                <w:b/>
                <w:bCs/>
                <w:color w:val="FFFFFF"/>
                <w:sz w:val="24"/>
                <w:szCs w:val="24"/>
              </w:rPr>
              <w:br/>
              <w:t>(for examinations in: 2016, 2017, 2018)</w:t>
            </w:r>
          </w:p>
        </w:tc>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FD7AC6" w:rsidRPr="00FD7AC6" w:rsidRDefault="00FD7AC6" w:rsidP="00FD7AC6">
            <w:pPr>
              <w:spacing w:before="720" w:after="240" w:line="240" w:lineRule="auto"/>
              <w:ind w:right="300"/>
              <w:jc w:val="center"/>
              <w:rPr>
                <w:rFonts w:ascii="Times New Roman" w:eastAsia="Times New Roman" w:hAnsi="Times New Roman" w:cs="Times New Roman"/>
                <w:b/>
                <w:bCs/>
                <w:color w:val="FFFFFF"/>
                <w:sz w:val="24"/>
                <w:szCs w:val="24"/>
              </w:rPr>
            </w:pPr>
            <w:r w:rsidRPr="00FD7AC6">
              <w:rPr>
                <w:rFonts w:ascii="Times New Roman" w:eastAsia="Times New Roman" w:hAnsi="Times New Roman" w:cs="Times New Roman"/>
                <w:b/>
                <w:bCs/>
                <w:color w:val="FFFFFF"/>
                <w:sz w:val="24"/>
                <w:szCs w:val="24"/>
              </w:rPr>
              <w:t>SL and HL </w:t>
            </w:r>
            <w:r w:rsidRPr="00FD7AC6">
              <w:rPr>
                <w:rFonts w:ascii="Times New Roman" w:eastAsia="Times New Roman" w:hAnsi="Times New Roman" w:cs="Times New Roman"/>
                <w:b/>
                <w:bCs/>
                <w:color w:val="FFFFFF"/>
                <w:sz w:val="24"/>
                <w:szCs w:val="24"/>
              </w:rPr>
              <w:br/>
              <w:t>(for examinations in: 2019, 2020, 2021)</w:t>
            </w:r>
          </w:p>
        </w:tc>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FD7AC6" w:rsidRPr="00FD7AC6" w:rsidRDefault="00FD7AC6" w:rsidP="00FD7AC6">
            <w:pPr>
              <w:spacing w:before="720" w:after="240" w:line="240" w:lineRule="auto"/>
              <w:ind w:right="300"/>
              <w:jc w:val="center"/>
              <w:rPr>
                <w:rFonts w:ascii="Times New Roman" w:eastAsia="Times New Roman" w:hAnsi="Times New Roman" w:cs="Times New Roman"/>
                <w:b/>
                <w:bCs/>
                <w:color w:val="FFFFFF"/>
                <w:sz w:val="24"/>
                <w:szCs w:val="24"/>
              </w:rPr>
            </w:pPr>
            <w:r w:rsidRPr="00FD7AC6">
              <w:rPr>
                <w:rFonts w:ascii="Times New Roman" w:eastAsia="Times New Roman" w:hAnsi="Times New Roman" w:cs="Times New Roman"/>
                <w:b/>
                <w:bCs/>
                <w:color w:val="FFFFFF"/>
                <w:sz w:val="24"/>
                <w:szCs w:val="24"/>
              </w:rPr>
              <w:t>HL </w:t>
            </w:r>
            <w:r w:rsidRPr="00FD7AC6">
              <w:rPr>
                <w:rFonts w:ascii="Times New Roman" w:eastAsia="Times New Roman" w:hAnsi="Times New Roman" w:cs="Times New Roman"/>
                <w:b/>
                <w:bCs/>
                <w:color w:val="FFFFFF"/>
                <w:sz w:val="24"/>
                <w:szCs w:val="24"/>
              </w:rPr>
              <w:br/>
              <w:t>(for examinations in: 2019, 2020, 2021)</w:t>
            </w:r>
          </w:p>
        </w:tc>
      </w:tr>
      <w:tr w:rsidR="00FD7AC6" w:rsidRPr="00FD7AC6" w:rsidTr="00FD7AC6">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FD7AC6" w:rsidRPr="00FD7AC6" w:rsidRDefault="00FD7AC6" w:rsidP="00FD7AC6">
            <w:pPr>
              <w:spacing w:before="720" w:after="240" w:line="240" w:lineRule="auto"/>
              <w:ind w:right="300"/>
              <w:rPr>
                <w:rFonts w:ascii="Times New Roman" w:eastAsia="Times New Roman" w:hAnsi="Times New Roman" w:cs="Times New Roman"/>
                <w:b/>
                <w:bCs/>
                <w:color w:val="FFFFFF"/>
                <w:sz w:val="24"/>
                <w:szCs w:val="24"/>
              </w:rPr>
            </w:pPr>
            <w:r w:rsidRPr="00FD7AC6">
              <w:rPr>
                <w:rFonts w:ascii="Times New Roman" w:eastAsia="Times New Roman" w:hAnsi="Times New Roman" w:cs="Times New Roman"/>
                <w:b/>
                <w:bCs/>
                <w:color w:val="FFFFFF"/>
                <w:sz w:val="24"/>
                <w:szCs w:val="24"/>
              </w:rPr>
              <w:lastRenderedPageBreak/>
              <w:t>A </w:t>
            </w:r>
            <w:r w:rsidRPr="00FD7AC6">
              <w:rPr>
                <w:rFonts w:ascii="Times New Roman" w:eastAsia="Times New Roman" w:hAnsi="Times New Roman" w:cs="Times New Roman"/>
                <w:b/>
                <w:bCs/>
                <w:color w:val="FFFFFF"/>
                <w:sz w:val="24"/>
                <w:szCs w:val="24"/>
              </w:rPr>
              <w:br/>
              <w:t>Homer</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before="720" w:after="24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Homer, </w:t>
            </w:r>
            <w:r w:rsidRPr="00FD7AC6">
              <w:rPr>
                <w:rFonts w:ascii="Times New Roman" w:eastAsia="Times New Roman" w:hAnsi="Times New Roman" w:cs="Times New Roman"/>
                <w:i/>
                <w:iCs/>
                <w:sz w:val="24"/>
                <w:szCs w:val="24"/>
              </w:rPr>
              <w:t>Iliad</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16.112–430</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before="720" w:after="24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Homer, </w:t>
            </w:r>
            <w:r w:rsidRPr="00FD7AC6">
              <w:rPr>
                <w:rFonts w:ascii="Times New Roman" w:eastAsia="Times New Roman" w:hAnsi="Times New Roman" w:cs="Times New Roman"/>
                <w:i/>
                <w:iCs/>
                <w:sz w:val="24"/>
                <w:szCs w:val="24"/>
              </w:rPr>
              <w:t>Iliad</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22.131–366</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before="720" w:after="24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Homer, </w:t>
            </w:r>
            <w:r w:rsidRPr="00FD7AC6">
              <w:rPr>
                <w:rFonts w:ascii="Times New Roman" w:eastAsia="Times New Roman" w:hAnsi="Times New Roman" w:cs="Times New Roman"/>
                <w:i/>
                <w:iCs/>
                <w:sz w:val="24"/>
                <w:szCs w:val="24"/>
              </w:rPr>
              <w:t>Odyssey</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22.178–501</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before="720" w:after="24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Homer, </w:t>
            </w:r>
            <w:r w:rsidRPr="00FD7AC6">
              <w:rPr>
                <w:rFonts w:ascii="Times New Roman" w:eastAsia="Times New Roman" w:hAnsi="Times New Roman" w:cs="Times New Roman"/>
                <w:i/>
                <w:iCs/>
                <w:sz w:val="24"/>
                <w:szCs w:val="24"/>
              </w:rPr>
              <w:t>Odyssey</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19.100–334</w:t>
            </w:r>
          </w:p>
        </w:tc>
      </w:tr>
      <w:tr w:rsidR="00FD7AC6" w:rsidRPr="00FD7AC6" w:rsidTr="00FD7AC6">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FD7AC6" w:rsidRPr="00FD7AC6" w:rsidRDefault="00FD7AC6" w:rsidP="00FD7AC6">
            <w:pPr>
              <w:spacing w:before="720" w:after="240" w:line="240" w:lineRule="auto"/>
              <w:ind w:right="300"/>
              <w:rPr>
                <w:rFonts w:ascii="Times New Roman" w:eastAsia="Times New Roman" w:hAnsi="Times New Roman" w:cs="Times New Roman"/>
                <w:b/>
                <w:bCs/>
                <w:color w:val="FFFFFF"/>
                <w:sz w:val="24"/>
                <w:szCs w:val="24"/>
              </w:rPr>
            </w:pPr>
            <w:r w:rsidRPr="00FD7AC6">
              <w:rPr>
                <w:rFonts w:ascii="Times New Roman" w:eastAsia="Times New Roman" w:hAnsi="Times New Roman" w:cs="Times New Roman"/>
                <w:b/>
                <w:bCs/>
                <w:color w:val="FFFFFF"/>
                <w:sz w:val="24"/>
                <w:szCs w:val="24"/>
              </w:rPr>
              <w:t>B </w:t>
            </w:r>
            <w:r w:rsidRPr="00FD7AC6">
              <w:rPr>
                <w:rFonts w:ascii="Times New Roman" w:eastAsia="Times New Roman" w:hAnsi="Times New Roman" w:cs="Times New Roman"/>
                <w:b/>
                <w:bCs/>
                <w:color w:val="FFFFFF"/>
                <w:sz w:val="24"/>
                <w:szCs w:val="24"/>
              </w:rPr>
              <w:br/>
              <w:t>History</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before="720" w:after="24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Herodotus, </w:t>
            </w:r>
            <w:r w:rsidRPr="00FD7AC6">
              <w:rPr>
                <w:rFonts w:ascii="Times New Roman" w:eastAsia="Times New Roman" w:hAnsi="Times New Roman" w:cs="Times New Roman"/>
                <w:i/>
                <w:iCs/>
                <w:sz w:val="24"/>
                <w:szCs w:val="24"/>
              </w:rPr>
              <w:t>The Histories</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1.29–49</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before="720" w:after="24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Herodotus, </w:t>
            </w:r>
            <w:r w:rsidRPr="00FD7AC6">
              <w:rPr>
                <w:rFonts w:ascii="Times New Roman" w:eastAsia="Times New Roman" w:hAnsi="Times New Roman" w:cs="Times New Roman"/>
                <w:i/>
                <w:iCs/>
                <w:sz w:val="24"/>
                <w:szCs w:val="24"/>
              </w:rPr>
              <w:t>The Histories</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7.223–228, 234–238</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before="720" w:after="24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Thucydides, </w:t>
            </w:r>
            <w:r w:rsidRPr="00FD7AC6">
              <w:rPr>
                <w:rFonts w:ascii="Times New Roman" w:eastAsia="Times New Roman" w:hAnsi="Times New Roman" w:cs="Times New Roman"/>
                <w:i/>
                <w:iCs/>
                <w:sz w:val="24"/>
                <w:szCs w:val="24"/>
              </w:rPr>
              <w:t>The Peloponnesian War</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7.73–84</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before="720" w:after="24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Thucydides, </w:t>
            </w:r>
            <w:r w:rsidRPr="00FD7AC6">
              <w:rPr>
                <w:rFonts w:ascii="Times New Roman" w:eastAsia="Times New Roman" w:hAnsi="Times New Roman" w:cs="Times New Roman"/>
                <w:i/>
                <w:iCs/>
                <w:sz w:val="24"/>
                <w:szCs w:val="24"/>
              </w:rPr>
              <w:t>The Peloponnesian War</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6.45–53; 7.73–84, 85–87</w:t>
            </w:r>
          </w:p>
        </w:tc>
      </w:tr>
      <w:tr w:rsidR="00FD7AC6" w:rsidRPr="00FD7AC6" w:rsidTr="00FD7AC6">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FD7AC6" w:rsidRPr="00FD7AC6" w:rsidRDefault="00FD7AC6" w:rsidP="00FD7AC6">
            <w:pPr>
              <w:spacing w:before="720" w:after="240" w:line="240" w:lineRule="auto"/>
              <w:ind w:right="300"/>
              <w:rPr>
                <w:rFonts w:ascii="Times New Roman" w:eastAsia="Times New Roman" w:hAnsi="Times New Roman" w:cs="Times New Roman"/>
                <w:b/>
                <w:bCs/>
                <w:color w:val="FFFFFF"/>
                <w:sz w:val="24"/>
                <w:szCs w:val="24"/>
              </w:rPr>
            </w:pPr>
            <w:r w:rsidRPr="00FD7AC6">
              <w:rPr>
                <w:rFonts w:ascii="Times New Roman" w:eastAsia="Times New Roman" w:hAnsi="Times New Roman" w:cs="Times New Roman"/>
                <w:b/>
                <w:bCs/>
                <w:color w:val="FFFFFF"/>
                <w:sz w:val="24"/>
                <w:szCs w:val="24"/>
              </w:rPr>
              <w:t>C </w:t>
            </w:r>
            <w:r w:rsidRPr="00FD7AC6">
              <w:rPr>
                <w:rFonts w:ascii="Times New Roman" w:eastAsia="Times New Roman" w:hAnsi="Times New Roman" w:cs="Times New Roman"/>
                <w:b/>
                <w:bCs/>
                <w:color w:val="FFFFFF"/>
                <w:sz w:val="24"/>
                <w:szCs w:val="24"/>
              </w:rPr>
              <w:br/>
              <w:t>Tragedy</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before="720" w:after="24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Sophocles, </w:t>
            </w:r>
            <w:r w:rsidRPr="00FD7AC6">
              <w:rPr>
                <w:rFonts w:ascii="Times New Roman" w:eastAsia="Times New Roman" w:hAnsi="Times New Roman" w:cs="Times New Roman"/>
                <w:i/>
                <w:iCs/>
                <w:sz w:val="24"/>
                <w:szCs w:val="24"/>
              </w:rPr>
              <w:t>Electra</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516–822</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before="720" w:after="24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Euripides, </w:t>
            </w:r>
            <w:r w:rsidRPr="00FD7AC6">
              <w:rPr>
                <w:rFonts w:ascii="Times New Roman" w:eastAsia="Times New Roman" w:hAnsi="Times New Roman" w:cs="Times New Roman"/>
                <w:i/>
                <w:iCs/>
                <w:sz w:val="24"/>
                <w:szCs w:val="24"/>
              </w:rPr>
              <w:t>Electra</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774–858, 998–1146</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after="15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Sophocles, </w:t>
            </w:r>
            <w:r w:rsidRPr="00FD7AC6">
              <w:rPr>
                <w:rFonts w:ascii="Times New Roman" w:eastAsia="Times New Roman" w:hAnsi="Times New Roman" w:cs="Times New Roman"/>
                <w:i/>
                <w:iCs/>
                <w:sz w:val="24"/>
                <w:szCs w:val="24"/>
              </w:rPr>
              <w:t>Ajax</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1–133</w:t>
            </w:r>
          </w:p>
          <w:p w:rsidR="00FD7AC6" w:rsidRPr="00FD7AC6" w:rsidRDefault="00FD7AC6" w:rsidP="00FD7AC6">
            <w:pPr>
              <w:spacing w:after="15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Sophocles, </w:t>
            </w:r>
            <w:r w:rsidRPr="00FD7AC6">
              <w:rPr>
                <w:rFonts w:ascii="Times New Roman" w:eastAsia="Times New Roman" w:hAnsi="Times New Roman" w:cs="Times New Roman"/>
                <w:i/>
                <w:iCs/>
                <w:sz w:val="24"/>
                <w:szCs w:val="24"/>
              </w:rPr>
              <w:t>Philoctetes</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1–134, 974–1044</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after="15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Sophocles, </w:t>
            </w:r>
            <w:r w:rsidRPr="00FD7AC6">
              <w:rPr>
                <w:rFonts w:ascii="Times New Roman" w:eastAsia="Times New Roman" w:hAnsi="Times New Roman" w:cs="Times New Roman"/>
                <w:i/>
                <w:iCs/>
                <w:sz w:val="24"/>
                <w:szCs w:val="24"/>
              </w:rPr>
              <w:t>Ajax</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1318–1380</w:t>
            </w:r>
          </w:p>
          <w:p w:rsidR="00FD7AC6" w:rsidRPr="00FD7AC6" w:rsidRDefault="00FD7AC6" w:rsidP="00FD7AC6">
            <w:pPr>
              <w:spacing w:after="15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Sophocles, </w:t>
            </w:r>
            <w:r w:rsidRPr="00FD7AC6">
              <w:rPr>
                <w:rFonts w:ascii="Times New Roman" w:eastAsia="Times New Roman" w:hAnsi="Times New Roman" w:cs="Times New Roman"/>
                <w:i/>
                <w:iCs/>
                <w:sz w:val="24"/>
                <w:szCs w:val="24"/>
              </w:rPr>
              <w:t>Philoctetes</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865–973</w:t>
            </w:r>
          </w:p>
        </w:tc>
      </w:tr>
      <w:tr w:rsidR="00FD7AC6" w:rsidRPr="00FD7AC6" w:rsidTr="00FD7AC6">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FD7AC6" w:rsidRPr="00FD7AC6" w:rsidRDefault="00FD7AC6" w:rsidP="00FD7AC6">
            <w:pPr>
              <w:spacing w:after="0" w:line="240" w:lineRule="auto"/>
              <w:ind w:right="300"/>
              <w:rPr>
                <w:rFonts w:ascii="Times New Roman" w:eastAsia="Times New Roman" w:hAnsi="Times New Roman" w:cs="Times New Roman"/>
                <w:b/>
                <w:bCs/>
                <w:color w:val="FFFFFF"/>
                <w:sz w:val="24"/>
                <w:szCs w:val="24"/>
              </w:rPr>
            </w:pPr>
            <w:r w:rsidRPr="00FD7AC6">
              <w:rPr>
                <w:rFonts w:ascii="Times New Roman" w:eastAsia="Times New Roman" w:hAnsi="Times New Roman" w:cs="Times New Roman"/>
                <w:b/>
                <w:bCs/>
                <w:color w:val="FFFFFF"/>
                <w:sz w:val="24"/>
                <w:szCs w:val="24"/>
              </w:rPr>
              <w:t>D </w:t>
            </w:r>
            <w:r w:rsidRPr="00FD7AC6">
              <w:rPr>
                <w:rFonts w:ascii="Times New Roman" w:eastAsia="Times New Roman" w:hAnsi="Times New Roman" w:cs="Times New Roman"/>
                <w:b/>
                <w:bCs/>
                <w:color w:val="FFFFFF"/>
                <w:sz w:val="24"/>
                <w:szCs w:val="24"/>
              </w:rPr>
              <w:br/>
            </w:r>
            <w:r w:rsidRPr="00FD7AC6">
              <w:rPr>
                <w:rFonts w:ascii="Times New Roman" w:eastAsia="Times New Roman" w:hAnsi="Times New Roman" w:cs="Times New Roman"/>
                <w:b/>
                <w:bCs/>
                <w:i/>
                <w:iCs/>
                <w:color w:val="FFFFFF"/>
                <w:sz w:val="24"/>
                <w:szCs w:val="24"/>
              </w:rPr>
              <w:t>Agon</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after="15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Sophocles, </w:t>
            </w:r>
            <w:r w:rsidRPr="00FD7AC6">
              <w:rPr>
                <w:rFonts w:ascii="Times New Roman" w:eastAsia="Times New Roman" w:hAnsi="Times New Roman" w:cs="Times New Roman"/>
                <w:i/>
                <w:iCs/>
                <w:sz w:val="24"/>
                <w:szCs w:val="24"/>
              </w:rPr>
              <w:t>Antigone</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387–525</w:t>
            </w:r>
          </w:p>
          <w:p w:rsidR="00FD7AC6" w:rsidRPr="00FD7AC6" w:rsidRDefault="00FD7AC6" w:rsidP="00FD7AC6">
            <w:pPr>
              <w:spacing w:after="15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Lysias, </w:t>
            </w:r>
            <w:r w:rsidRPr="00FD7AC6">
              <w:rPr>
                <w:rFonts w:ascii="Times New Roman" w:eastAsia="Times New Roman" w:hAnsi="Times New Roman" w:cs="Times New Roman"/>
                <w:i/>
                <w:iCs/>
                <w:sz w:val="24"/>
                <w:szCs w:val="24"/>
              </w:rPr>
              <w:t>On the Murder of Eratosthenes</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1–36</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after="15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Aristophanes, </w:t>
            </w:r>
            <w:r w:rsidRPr="00FD7AC6">
              <w:rPr>
                <w:rFonts w:ascii="Times New Roman" w:eastAsia="Times New Roman" w:hAnsi="Times New Roman" w:cs="Times New Roman"/>
                <w:i/>
                <w:iCs/>
                <w:sz w:val="24"/>
                <w:szCs w:val="24"/>
              </w:rPr>
              <w:t>Clouds</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961–1104</w:t>
            </w:r>
          </w:p>
          <w:p w:rsidR="00FD7AC6" w:rsidRPr="00FD7AC6" w:rsidRDefault="00FD7AC6" w:rsidP="00FD7AC6">
            <w:pPr>
              <w:spacing w:after="15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Thucydides, </w:t>
            </w:r>
            <w:r w:rsidRPr="00FD7AC6">
              <w:rPr>
                <w:rFonts w:ascii="Times New Roman" w:eastAsia="Times New Roman" w:hAnsi="Times New Roman" w:cs="Times New Roman"/>
                <w:i/>
                <w:iCs/>
                <w:sz w:val="24"/>
                <w:szCs w:val="24"/>
              </w:rPr>
              <w:t>The Peloponnesian War</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4.17–22</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after="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Not offered</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after="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Not offered</w:t>
            </w:r>
          </w:p>
        </w:tc>
      </w:tr>
      <w:tr w:rsidR="00FD7AC6" w:rsidRPr="00FD7AC6" w:rsidTr="00FD7AC6">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FD7AC6" w:rsidRPr="00FD7AC6" w:rsidRDefault="00FD7AC6" w:rsidP="00FD7AC6">
            <w:pPr>
              <w:spacing w:after="0" w:line="240" w:lineRule="auto"/>
              <w:ind w:right="300"/>
              <w:rPr>
                <w:rFonts w:ascii="Times New Roman" w:eastAsia="Times New Roman" w:hAnsi="Times New Roman" w:cs="Times New Roman"/>
                <w:b/>
                <w:bCs/>
                <w:color w:val="FFFFFF"/>
                <w:sz w:val="24"/>
                <w:szCs w:val="24"/>
              </w:rPr>
            </w:pPr>
            <w:r w:rsidRPr="00FD7AC6">
              <w:rPr>
                <w:rFonts w:ascii="Times New Roman" w:eastAsia="Times New Roman" w:hAnsi="Times New Roman" w:cs="Times New Roman"/>
                <w:b/>
                <w:bCs/>
                <w:color w:val="FFFFFF"/>
                <w:sz w:val="24"/>
                <w:szCs w:val="24"/>
              </w:rPr>
              <w:t>E </w:t>
            </w:r>
            <w:r w:rsidRPr="00FD7AC6">
              <w:rPr>
                <w:rFonts w:ascii="Times New Roman" w:eastAsia="Times New Roman" w:hAnsi="Times New Roman" w:cs="Times New Roman"/>
                <w:b/>
                <w:bCs/>
                <w:color w:val="FFFFFF"/>
                <w:sz w:val="24"/>
                <w:szCs w:val="24"/>
              </w:rPr>
              <w:br/>
              <w:t>Women</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after="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Not offered</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after="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Not offered</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after="15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Euripides, </w:t>
            </w:r>
            <w:r w:rsidRPr="00FD7AC6">
              <w:rPr>
                <w:rFonts w:ascii="Times New Roman" w:eastAsia="Times New Roman" w:hAnsi="Times New Roman" w:cs="Times New Roman"/>
                <w:i/>
                <w:iCs/>
                <w:sz w:val="24"/>
                <w:szCs w:val="24"/>
              </w:rPr>
              <w:t>Iphigenia at Aulis</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1336–1465</w:t>
            </w:r>
          </w:p>
          <w:p w:rsidR="00FD7AC6" w:rsidRPr="00FD7AC6" w:rsidRDefault="00FD7AC6" w:rsidP="00FD7AC6">
            <w:pPr>
              <w:spacing w:after="15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Plato, </w:t>
            </w:r>
            <w:r w:rsidRPr="00FD7AC6">
              <w:rPr>
                <w:rFonts w:ascii="Times New Roman" w:eastAsia="Times New Roman" w:hAnsi="Times New Roman" w:cs="Times New Roman"/>
                <w:i/>
                <w:iCs/>
                <w:sz w:val="24"/>
                <w:szCs w:val="24"/>
              </w:rPr>
              <w:t>Republic Book 5</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454d–457b</w:t>
            </w:r>
          </w:p>
          <w:p w:rsidR="00FD7AC6" w:rsidRPr="00FD7AC6" w:rsidRDefault="00FD7AC6" w:rsidP="00FD7AC6">
            <w:pPr>
              <w:spacing w:after="15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Plutarch, </w:t>
            </w:r>
            <w:r w:rsidRPr="00FD7AC6">
              <w:rPr>
                <w:rFonts w:ascii="Times New Roman" w:eastAsia="Times New Roman" w:hAnsi="Times New Roman" w:cs="Times New Roman"/>
                <w:i/>
                <w:iCs/>
                <w:sz w:val="24"/>
                <w:szCs w:val="24"/>
              </w:rPr>
              <w:t>Lycurgus</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14.1–16.3</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after="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Euripides, </w:t>
            </w:r>
            <w:r w:rsidRPr="00FD7AC6">
              <w:rPr>
                <w:rFonts w:ascii="Times New Roman" w:eastAsia="Times New Roman" w:hAnsi="Times New Roman" w:cs="Times New Roman"/>
                <w:i/>
                <w:iCs/>
                <w:sz w:val="24"/>
                <w:szCs w:val="24"/>
              </w:rPr>
              <w:t>Medea</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214–356</w:t>
            </w:r>
          </w:p>
        </w:tc>
      </w:tr>
      <w:tr w:rsidR="00FD7AC6" w:rsidRPr="00FD7AC6" w:rsidTr="00FD7AC6">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FD7AC6" w:rsidRPr="00FD7AC6" w:rsidRDefault="00FD7AC6" w:rsidP="00FD7AC6">
            <w:pPr>
              <w:spacing w:after="0" w:line="240" w:lineRule="auto"/>
              <w:ind w:right="300"/>
              <w:rPr>
                <w:rFonts w:ascii="Times New Roman" w:eastAsia="Times New Roman" w:hAnsi="Times New Roman" w:cs="Times New Roman"/>
                <w:b/>
                <w:bCs/>
                <w:color w:val="FFFFFF"/>
                <w:sz w:val="24"/>
                <w:szCs w:val="24"/>
              </w:rPr>
            </w:pPr>
            <w:r w:rsidRPr="00FD7AC6">
              <w:rPr>
                <w:rFonts w:ascii="Times New Roman" w:eastAsia="Times New Roman" w:hAnsi="Times New Roman" w:cs="Times New Roman"/>
                <w:b/>
                <w:bCs/>
                <w:color w:val="FFFFFF"/>
                <w:sz w:val="24"/>
                <w:szCs w:val="24"/>
              </w:rPr>
              <w:t>F </w:t>
            </w:r>
            <w:r w:rsidRPr="00FD7AC6">
              <w:rPr>
                <w:rFonts w:ascii="Times New Roman" w:eastAsia="Times New Roman" w:hAnsi="Times New Roman" w:cs="Times New Roman"/>
                <w:b/>
                <w:bCs/>
                <w:color w:val="FFFFFF"/>
                <w:sz w:val="24"/>
                <w:szCs w:val="24"/>
              </w:rPr>
              <w:br/>
              <w:t>Scientific knowledge</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after="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Hippocrates, </w:t>
            </w:r>
            <w:r w:rsidRPr="00FD7AC6">
              <w:rPr>
                <w:rFonts w:ascii="Times New Roman" w:eastAsia="Times New Roman" w:hAnsi="Times New Roman" w:cs="Times New Roman"/>
                <w:i/>
                <w:iCs/>
                <w:sz w:val="24"/>
                <w:szCs w:val="24"/>
              </w:rPr>
              <w:t>De aere aquis et locis</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1–8</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after="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Plato, </w:t>
            </w:r>
            <w:r w:rsidRPr="00FD7AC6">
              <w:rPr>
                <w:rFonts w:ascii="Times New Roman" w:eastAsia="Times New Roman" w:hAnsi="Times New Roman" w:cs="Times New Roman"/>
                <w:i/>
                <w:iCs/>
                <w:sz w:val="24"/>
                <w:szCs w:val="24"/>
              </w:rPr>
              <w:t>Phaedrus</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270b–275e</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after="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Not offered</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after="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Not offered</w:t>
            </w:r>
          </w:p>
        </w:tc>
      </w:tr>
      <w:tr w:rsidR="00FD7AC6" w:rsidRPr="00FD7AC6" w:rsidTr="00FD7AC6">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FD7AC6" w:rsidRPr="00FD7AC6" w:rsidRDefault="00FD7AC6" w:rsidP="00FD7AC6">
            <w:pPr>
              <w:spacing w:after="0" w:line="240" w:lineRule="auto"/>
              <w:ind w:right="300"/>
              <w:rPr>
                <w:rFonts w:ascii="Times New Roman" w:eastAsia="Times New Roman" w:hAnsi="Times New Roman" w:cs="Times New Roman"/>
                <w:b/>
                <w:bCs/>
                <w:color w:val="FFFFFF"/>
                <w:sz w:val="24"/>
                <w:szCs w:val="24"/>
              </w:rPr>
            </w:pPr>
            <w:r w:rsidRPr="00FD7AC6">
              <w:rPr>
                <w:rFonts w:ascii="Times New Roman" w:eastAsia="Times New Roman" w:hAnsi="Times New Roman" w:cs="Times New Roman"/>
                <w:b/>
                <w:bCs/>
                <w:color w:val="FFFFFF"/>
                <w:sz w:val="24"/>
                <w:szCs w:val="24"/>
              </w:rPr>
              <w:t>G </w:t>
            </w:r>
            <w:r w:rsidRPr="00FD7AC6">
              <w:rPr>
                <w:rFonts w:ascii="Times New Roman" w:eastAsia="Times New Roman" w:hAnsi="Times New Roman" w:cs="Times New Roman"/>
                <w:b/>
                <w:bCs/>
                <w:color w:val="FFFFFF"/>
                <w:sz w:val="24"/>
                <w:szCs w:val="24"/>
              </w:rPr>
              <w:br/>
              <w:t>Barbarians</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after="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Not offered</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after="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Not offered</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after="15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Herodotus, </w:t>
            </w:r>
            <w:r w:rsidRPr="00FD7AC6">
              <w:rPr>
                <w:rFonts w:ascii="Times New Roman" w:eastAsia="Times New Roman" w:hAnsi="Times New Roman" w:cs="Times New Roman"/>
                <w:i/>
                <w:iCs/>
                <w:sz w:val="24"/>
                <w:szCs w:val="24"/>
              </w:rPr>
              <w:t>The Histories</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2.35–45</w:t>
            </w:r>
          </w:p>
          <w:p w:rsidR="00FD7AC6" w:rsidRPr="00FD7AC6" w:rsidRDefault="00FD7AC6" w:rsidP="00FD7AC6">
            <w:pPr>
              <w:spacing w:after="15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Aeschylus, </w:t>
            </w:r>
            <w:r w:rsidRPr="00FD7AC6">
              <w:rPr>
                <w:rFonts w:ascii="Times New Roman" w:eastAsia="Times New Roman" w:hAnsi="Times New Roman" w:cs="Times New Roman"/>
                <w:i/>
                <w:iCs/>
                <w:sz w:val="24"/>
                <w:szCs w:val="24"/>
              </w:rPr>
              <w:t>Persae</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159–214, 760–851</w:t>
            </w:r>
          </w:p>
        </w:tc>
        <w:tc>
          <w:tcPr>
            <w:tcW w:w="2295" w:type="dxa"/>
            <w:tcBorders>
              <w:top w:val="single" w:sz="6" w:space="0" w:color="888888"/>
              <w:left w:val="single" w:sz="6" w:space="0" w:color="888888"/>
              <w:bottom w:val="single" w:sz="6" w:space="0" w:color="888888"/>
              <w:right w:val="single" w:sz="6" w:space="0" w:color="888888"/>
            </w:tcBorders>
            <w:shd w:val="clear" w:color="auto" w:fill="auto"/>
            <w:hideMark/>
          </w:tcPr>
          <w:p w:rsidR="00FD7AC6" w:rsidRPr="00FD7AC6" w:rsidRDefault="00FD7AC6" w:rsidP="00FD7AC6">
            <w:pPr>
              <w:spacing w:after="0" w:line="240" w:lineRule="auto"/>
              <w:ind w:right="300"/>
              <w:rPr>
                <w:rFonts w:ascii="Times New Roman" w:eastAsia="Times New Roman" w:hAnsi="Times New Roman" w:cs="Times New Roman"/>
                <w:sz w:val="24"/>
                <w:szCs w:val="24"/>
              </w:rPr>
            </w:pPr>
            <w:r w:rsidRPr="00FD7AC6">
              <w:rPr>
                <w:rFonts w:ascii="Times New Roman" w:eastAsia="Times New Roman" w:hAnsi="Times New Roman" w:cs="Times New Roman"/>
                <w:sz w:val="24"/>
                <w:szCs w:val="24"/>
              </w:rPr>
              <w:t>Euripides, </w:t>
            </w:r>
            <w:r w:rsidRPr="00FD7AC6">
              <w:rPr>
                <w:rFonts w:ascii="Times New Roman" w:eastAsia="Times New Roman" w:hAnsi="Times New Roman" w:cs="Times New Roman"/>
                <w:i/>
                <w:iCs/>
                <w:sz w:val="24"/>
                <w:szCs w:val="24"/>
              </w:rPr>
              <w:t>Medea</w:t>
            </w:r>
            <w:r w:rsidRPr="00FD7AC6">
              <w:rPr>
                <w:rFonts w:ascii="Times New Roman" w:eastAsia="Times New Roman" w:hAnsi="Times New Roman" w:cs="Times New Roman"/>
                <w:sz w:val="24"/>
                <w:szCs w:val="24"/>
              </w:rPr>
              <w:t> </w:t>
            </w:r>
            <w:r w:rsidRPr="00FD7AC6">
              <w:rPr>
                <w:rFonts w:ascii="Times New Roman" w:eastAsia="Times New Roman" w:hAnsi="Times New Roman" w:cs="Times New Roman"/>
                <w:sz w:val="24"/>
                <w:szCs w:val="24"/>
              </w:rPr>
              <w:br/>
              <w:t>214–409</w:t>
            </w:r>
          </w:p>
        </w:tc>
      </w:tr>
    </w:tbl>
    <w:p w:rsidR="00080560" w:rsidRPr="00FD7AC6" w:rsidRDefault="00080560" w:rsidP="00FD7AC6"/>
    <w:sectPr w:rsidR="00080560" w:rsidRPr="00FD7AC6">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462" w:rsidRDefault="00654462" w:rsidP="00FD7AC6">
      <w:pPr>
        <w:spacing w:after="0" w:line="240" w:lineRule="auto"/>
      </w:pPr>
      <w:r>
        <w:separator/>
      </w:r>
    </w:p>
  </w:endnote>
  <w:endnote w:type="continuationSeparator" w:id="0">
    <w:p w:rsidR="00654462" w:rsidRDefault="00654462" w:rsidP="00FD7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462" w:rsidRDefault="00654462" w:rsidP="00FD7AC6">
      <w:pPr>
        <w:spacing w:after="0" w:line="240" w:lineRule="auto"/>
      </w:pPr>
      <w:r>
        <w:separator/>
      </w:r>
    </w:p>
  </w:footnote>
  <w:footnote w:type="continuationSeparator" w:id="0">
    <w:p w:rsidR="00654462" w:rsidRDefault="00654462" w:rsidP="00FD7A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AC6" w:rsidRDefault="00FD7AC6">
    <w:pPr>
      <w:pStyle w:val="Header"/>
    </w:pPr>
    <w:r w:rsidRPr="00FD7AC6">
      <w:t>ibpublishing.ibo.org/server2/rest/app/tsm.xql?doc=d_2_class_gui_1402_2_e&amp;part=2&amp;chapter=3</w:t>
    </w:r>
  </w:p>
  <w:p w:rsidR="00FD7AC6" w:rsidRDefault="00FD7AC6">
    <w:pPr>
      <w:pStyle w:val="Header"/>
    </w:pPr>
    <w:r>
      <w:t>Assembled by Steve Perkins on December 14,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43F57"/>
    <w:multiLevelType w:val="multilevel"/>
    <w:tmpl w:val="54B6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F50E2B"/>
    <w:multiLevelType w:val="multilevel"/>
    <w:tmpl w:val="6044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0F11F6"/>
    <w:multiLevelType w:val="multilevel"/>
    <w:tmpl w:val="7F46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C91BE0"/>
    <w:multiLevelType w:val="multilevel"/>
    <w:tmpl w:val="09DC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027C23"/>
    <w:multiLevelType w:val="multilevel"/>
    <w:tmpl w:val="2A52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FC4ED4"/>
    <w:multiLevelType w:val="multilevel"/>
    <w:tmpl w:val="D174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C6"/>
    <w:rsid w:val="00080560"/>
    <w:rsid w:val="00153267"/>
    <w:rsid w:val="00654462"/>
    <w:rsid w:val="009C610D"/>
    <w:rsid w:val="00B55F3D"/>
    <w:rsid w:val="00BB4D15"/>
    <w:rsid w:val="00BE63D0"/>
    <w:rsid w:val="00C570EA"/>
    <w:rsid w:val="00F87A87"/>
    <w:rsid w:val="00FD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0ED2E-28DF-4763-B77C-30C2BB4F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D7A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D7A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D7A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D7AC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D7AC6"/>
  </w:style>
  <w:style w:type="character" w:styleId="Emphasis">
    <w:name w:val="Emphasis"/>
    <w:basedOn w:val="DefaultParagraphFont"/>
    <w:uiPriority w:val="20"/>
    <w:qFormat/>
    <w:rsid w:val="00FD7AC6"/>
    <w:rPr>
      <w:i/>
      <w:iCs/>
    </w:rPr>
  </w:style>
  <w:style w:type="paragraph" w:styleId="NormalWeb">
    <w:name w:val="Normal (Web)"/>
    <w:basedOn w:val="Normal"/>
    <w:uiPriority w:val="99"/>
    <w:semiHidden/>
    <w:unhideWhenUsed/>
    <w:rsid w:val="00FD7A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D7A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D7AC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D7AC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D7AC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FD7AC6"/>
    <w:rPr>
      <w:color w:val="0000FF"/>
      <w:u w:val="single"/>
    </w:rPr>
  </w:style>
  <w:style w:type="character" w:styleId="Strong">
    <w:name w:val="Strong"/>
    <w:basedOn w:val="DefaultParagraphFont"/>
    <w:uiPriority w:val="22"/>
    <w:qFormat/>
    <w:rsid w:val="00FD7AC6"/>
    <w:rPr>
      <w:b/>
      <w:bCs/>
    </w:rPr>
  </w:style>
  <w:style w:type="paragraph" w:styleId="Header">
    <w:name w:val="header"/>
    <w:basedOn w:val="Normal"/>
    <w:link w:val="HeaderChar"/>
    <w:uiPriority w:val="99"/>
    <w:unhideWhenUsed/>
    <w:rsid w:val="00FD7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AC6"/>
  </w:style>
  <w:style w:type="paragraph" w:styleId="Footer">
    <w:name w:val="footer"/>
    <w:basedOn w:val="Normal"/>
    <w:link w:val="FooterChar"/>
    <w:uiPriority w:val="99"/>
    <w:unhideWhenUsed/>
    <w:rsid w:val="00FD7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29161">
      <w:bodyDiv w:val="1"/>
      <w:marLeft w:val="0"/>
      <w:marRight w:val="0"/>
      <w:marTop w:val="0"/>
      <w:marBottom w:val="0"/>
      <w:divBdr>
        <w:top w:val="none" w:sz="0" w:space="0" w:color="auto"/>
        <w:left w:val="none" w:sz="0" w:space="0" w:color="auto"/>
        <w:bottom w:val="none" w:sz="0" w:space="0" w:color="auto"/>
        <w:right w:val="none" w:sz="0" w:space="0" w:color="auto"/>
      </w:divBdr>
    </w:div>
    <w:div w:id="1290281947">
      <w:bodyDiv w:val="1"/>
      <w:marLeft w:val="0"/>
      <w:marRight w:val="0"/>
      <w:marTop w:val="0"/>
      <w:marBottom w:val="0"/>
      <w:divBdr>
        <w:top w:val="none" w:sz="0" w:space="0" w:color="auto"/>
        <w:left w:val="none" w:sz="0" w:space="0" w:color="auto"/>
        <w:bottom w:val="none" w:sz="0" w:space="0" w:color="auto"/>
        <w:right w:val="none" w:sz="0" w:space="0" w:color="auto"/>
      </w:divBdr>
      <w:divsChild>
        <w:div w:id="1422528989">
          <w:marLeft w:val="390"/>
          <w:marRight w:val="0"/>
          <w:marTop w:val="0"/>
          <w:marBottom w:val="0"/>
          <w:divBdr>
            <w:top w:val="none" w:sz="0" w:space="0" w:color="auto"/>
            <w:left w:val="none" w:sz="0" w:space="0" w:color="auto"/>
            <w:bottom w:val="none" w:sz="0" w:space="0" w:color="auto"/>
            <w:right w:val="none" w:sz="0" w:space="0" w:color="auto"/>
          </w:divBdr>
          <w:divsChild>
            <w:div w:id="1998460415">
              <w:marLeft w:val="0"/>
              <w:marRight w:val="0"/>
              <w:marTop w:val="0"/>
              <w:marBottom w:val="0"/>
              <w:divBdr>
                <w:top w:val="none" w:sz="0" w:space="0" w:color="auto"/>
                <w:left w:val="none" w:sz="0" w:space="0" w:color="auto"/>
                <w:bottom w:val="none" w:sz="0" w:space="0" w:color="auto"/>
                <w:right w:val="none" w:sz="0" w:space="0" w:color="auto"/>
              </w:divBdr>
              <w:divsChild>
                <w:div w:id="648292698">
                  <w:marLeft w:val="0"/>
                  <w:marRight w:val="0"/>
                  <w:marTop w:val="0"/>
                  <w:marBottom w:val="0"/>
                  <w:divBdr>
                    <w:top w:val="none" w:sz="0" w:space="0" w:color="auto"/>
                    <w:left w:val="none" w:sz="0" w:space="0" w:color="auto"/>
                    <w:bottom w:val="none" w:sz="0" w:space="0" w:color="auto"/>
                    <w:right w:val="none" w:sz="0" w:space="0" w:color="auto"/>
                  </w:divBdr>
                  <w:divsChild>
                    <w:div w:id="1008218524">
                      <w:marLeft w:val="0"/>
                      <w:marRight w:val="0"/>
                      <w:marTop w:val="0"/>
                      <w:marBottom w:val="0"/>
                      <w:divBdr>
                        <w:top w:val="none" w:sz="0" w:space="0" w:color="auto"/>
                        <w:left w:val="none" w:sz="0" w:space="0" w:color="auto"/>
                        <w:bottom w:val="none" w:sz="0" w:space="0" w:color="auto"/>
                        <w:right w:val="none" w:sz="0" w:space="0" w:color="auto"/>
                      </w:divBdr>
                    </w:div>
                    <w:div w:id="1547793807">
                      <w:marLeft w:val="0"/>
                      <w:marRight w:val="0"/>
                      <w:marTop w:val="0"/>
                      <w:marBottom w:val="0"/>
                      <w:divBdr>
                        <w:top w:val="none" w:sz="0" w:space="0" w:color="auto"/>
                        <w:left w:val="none" w:sz="0" w:space="0" w:color="auto"/>
                        <w:bottom w:val="none" w:sz="0" w:space="0" w:color="auto"/>
                        <w:right w:val="none" w:sz="0" w:space="0" w:color="auto"/>
                      </w:divBdr>
                      <w:divsChild>
                        <w:div w:id="465129460">
                          <w:marLeft w:val="0"/>
                          <w:marRight w:val="0"/>
                          <w:marTop w:val="0"/>
                          <w:marBottom w:val="0"/>
                          <w:divBdr>
                            <w:top w:val="none" w:sz="0" w:space="0" w:color="auto"/>
                            <w:left w:val="none" w:sz="0" w:space="0" w:color="auto"/>
                            <w:bottom w:val="none" w:sz="0" w:space="0" w:color="auto"/>
                            <w:right w:val="none" w:sz="0" w:space="0" w:color="auto"/>
                          </w:divBdr>
                        </w:div>
                        <w:div w:id="579752871">
                          <w:marLeft w:val="0"/>
                          <w:marRight w:val="0"/>
                          <w:marTop w:val="0"/>
                          <w:marBottom w:val="0"/>
                          <w:divBdr>
                            <w:top w:val="none" w:sz="0" w:space="0" w:color="auto"/>
                            <w:left w:val="none" w:sz="0" w:space="0" w:color="auto"/>
                            <w:bottom w:val="none" w:sz="0" w:space="0" w:color="auto"/>
                            <w:right w:val="none" w:sz="0" w:space="0" w:color="auto"/>
                          </w:divBdr>
                        </w:div>
                      </w:divsChild>
                    </w:div>
                    <w:div w:id="1806896981">
                      <w:marLeft w:val="0"/>
                      <w:marRight w:val="0"/>
                      <w:marTop w:val="0"/>
                      <w:marBottom w:val="0"/>
                      <w:divBdr>
                        <w:top w:val="none" w:sz="0" w:space="0" w:color="auto"/>
                        <w:left w:val="none" w:sz="0" w:space="0" w:color="auto"/>
                        <w:bottom w:val="none" w:sz="0" w:space="0" w:color="auto"/>
                        <w:right w:val="none" w:sz="0" w:space="0" w:color="auto"/>
                      </w:divBdr>
                    </w:div>
                  </w:divsChild>
                </w:div>
                <w:div w:id="2107918500">
                  <w:marLeft w:val="0"/>
                  <w:marRight w:val="0"/>
                  <w:marTop w:val="0"/>
                  <w:marBottom w:val="0"/>
                  <w:divBdr>
                    <w:top w:val="none" w:sz="0" w:space="0" w:color="auto"/>
                    <w:left w:val="none" w:sz="0" w:space="0" w:color="auto"/>
                    <w:bottom w:val="none" w:sz="0" w:space="0" w:color="auto"/>
                    <w:right w:val="none" w:sz="0" w:space="0" w:color="auto"/>
                  </w:divBdr>
                  <w:divsChild>
                    <w:div w:id="83380382">
                      <w:marLeft w:val="0"/>
                      <w:marRight w:val="0"/>
                      <w:marTop w:val="0"/>
                      <w:marBottom w:val="0"/>
                      <w:divBdr>
                        <w:top w:val="none" w:sz="0" w:space="0" w:color="auto"/>
                        <w:left w:val="none" w:sz="0" w:space="0" w:color="auto"/>
                        <w:bottom w:val="none" w:sz="0" w:space="0" w:color="auto"/>
                        <w:right w:val="none" w:sz="0" w:space="0" w:color="auto"/>
                      </w:divBdr>
                      <w:divsChild>
                        <w:div w:id="1884363324">
                          <w:marLeft w:val="0"/>
                          <w:marRight w:val="0"/>
                          <w:marTop w:val="0"/>
                          <w:marBottom w:val="0"/>
                          <w:divBdr>
                            <w:top w:val="none" w:sz="0" w:space="0" w:color="auto"/>
                            <w:left w:val="none" w:sz="0" w:space="0" w:color="auto"/>
                            <w:bottom w:val="none" w:sz="0" w:space="0" w:color="auto"/>
                            <w:right w:val="none" w:sz="0" w:space="0" w:color="auto"/>
                          </w:divBdr>
                        </w:div>
                        <w:div w:id="1962347135">
                          <w:marLeft w:val="0"/>
                          <w:marRight w:val="0"/>
                          <w:marTop w:val="0"/>
                          <w:marBottom w:val="0"/>
                          <w:divBdr>
                            <w:top w:val="none" w:sz="0" w:space="0" w:color="auto"/>
                            <w:left w:val="none" w:sz="0" w:space="0" w:color="auto"/>
                            <w:bottom w:val="none" w:sz="0" w:space="0" w:color="auto"/>
                            <w:right w:val="none" w:sz="0" w:space="0" w:color="auto"/>
                          </w:divBdr>
                        </w:div>
                      </w:divsChild>
                    </w:div>
                    <w:div w:id="863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566201">
          <w:marLeft w:val="0"/>
          <w:marRight w:val="0"/>
          <w:marTop w:val="0"/>
          <w:marBottom w:val="0"/>
          <w:divBdr>
            <w:top w:val="none" w:sz="0" w:space="0" w:color="auto"/>
            <w:left w:val="none" w:sz="0" w:space="0" w:color="auto"/>
            <w:bottom w:val="none" w:sz="0" w:space="0" w:color="auto"/>
            <w:right w:val="none" w:sz="0" w:space="0" w:color="auto"/>
          </w:divBdr>
          <w:divsChild>
            <w:div w:id="946083033">
              <w:marLeft w:val="0"/>
              <w:marRight w:val="0"/>
              <w:marTop w:val="0"/>
              <w:marBottom w:val="0"/>
              <w:divBdr>
                <w:top w:val="none" w:sz="0" w:space="0" w:color="auto"/>
                <w:left w:val="none" w:sz="0" w:space="0" w:color="auto"/>
                <w:bottom w:val="none" w:sz="0" w:space="0" w:color="auto"/>
                <w:right w:val="none" w:sz="0" w:space="0" w:color="auto"/>
              </w:divBdr>
              <w:divsChild>
                <w:div w:id="653799070">
                  <w:marLeft w:val="0"/>
                  <w:marRight w:val="0"/>
                  <w:marTop w:val="0"/>
                  <w:marBottom w:val="0"/>
                  <w:divBdr>
                    <w:top w:val="none" w:sz="0" w:space="0" w:color="auto"/>
                    <w:left w:val="none" w:sz="0" w:space="0" w:color="auto"/>
                    <w:bottom w:val="none" w:sz="0" w:space="0" w:color="auto"/>
                    <w:right w:val="none" w:sz="0" w:space="0" w:color="auto"/>
                  </w:divBdr>
                </w:div>
                <w:div w:id="1391999536">
                  <w:marLeft w:val="0"/>
                  <w:marRight w:val="0"/>
                  <w:marTop w:val="0"/>
                  <w:marBottom w:val="0"/>
                  <w:divBdr>
                    <w:top w:val="none" w:sz="0" w:space="0" w:color="auto"/>
                    <w:left w:val="none" w:sz="0" w:space="0" w:color="auto"/>
                    <w:bottom w:val="none" w:sz="0" w:space="0" w:color="auto"/>
                    <w:right w:val="none" w:sz="0" w:space="0" w:color="auto"/>
                  </w:divBdr>
                </w:div>
                <w:div w:id="1553426351">
                  <w:marLeft w:val="0"/>
                  <w:marRight w:val="0"/>
                  <w:marTop w:val="120"/>
                  <w:marBottom w:val="72"/>
                  <w:divBdr>
                    <w:top w:val="none" w:sz="0" w:space="0" w:color="auto"/>
                    <w:left w:val="none" w:sz="0" w:space="0" w:color="auto"/>
                    <w:bottom w:val="none" w:sz="0" w:space="0" w:color="auto"/>
                    <w:right w:val="none" w:sz="0" w:space="0" w:color="auto"/>
                  </w:divBdr>
                </w:div>
                <w:div w:id="1653288327">
                  <w:marLeft w:val="0"/>
                  <w:marRight w:val="0"/>
                  <w:marTop w:val="120"/>
                  <w:marBottom w:val="72"/>
                  <w:divBdr>
                    <w:top w:val="none" w:sz="0" w:space="0" w:color="auto"/>
                    <w:left w:val="none" w:sz="0" w:space="0" w:color="auto"/>
                    <w:bottom w:val="none" w:sz="0" w:space="0" w:color="auto"/>
                    <w:right w:val="none" w:sz="0" w:space="0" w:color="auto"/>
                  </w:divBdr>
                </w:div>
                <w:div w:id="1824081272">
                  <w:marLeft w:val="0"/>
                  <w:marRight w:val="0"/>
                  <w:marTop w:val="0"/>
                  <w:marBottom w:val="0"/>
                  <w:divBdr>
                    <w:top w:val="none" w:sz="0" w:space="0" w:color="auto"/>
                    <w:left w:val="none" w:sz="0" w:space="0" w:color="auto"/>
                    <w:bottom w:val="none" w:sz="0" w:space="0" w:color="auto"/>
                    <w:right w:val="none" w:sz="0" w:space="0" w:color="auto"/>
                  </w:divBdr>
                </w:div>
                <w:div w:id="1847789314">
                  <w:marLeft w:val="0"/>
                  <w:marRight w:val="0"/>
                  <w:marTop w:val="120"/>
                  <w:marBottom w:val="72"/>
                  <w:divBdr>
                    <w:top w:val="none" w:sz="0" w:space="0" w:color="auto"/>
                    <w:left w:val="none" w:sz="0" w:space="0" w:color="auto"/>
                    <w:bottom w:val="none" w:sz="0" w:space="0" w:color="auto"/>
                    <w:right w:val="none" w:sz="0" w:space="0" w:color="auto"/>
                  </w:divBdr>
                </w:div>
                <w:div w:id="1918634796">
                  <w:marLeft w:val="0"/>
                  <w:marRight w:val="0"/>
                  <w:marTop w:val="120"/>
                  <w:marBottom w:val="72"/>
                  <w:divBdr>
                    <w:top w:val="none" w:sz="0" w:space="0" w:color="auto"/>
                    <w:left w:val="none" w:sz="0" w:space="0" w:color="auto"/>
                    <w:bottom w:val="none" w:sz="0" w:space="0" w:color="auto"/>
                    <w:right w:val="none" w:sz="0" w:space="0" w:color="auto"/>
                  </w:divBdr>
                </w:div>
                <w:div w:id="2011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publishing.ibo.org/server2/rest/app/tsm.xql?doc=d_2_class_gui_1402_2_e&amp;part=1&amp;chapter=2" TargetMode="External"/><Relationship Id="rId13" Type="http://schemas.openxmlformats.org/officeDocument/2006/relationships/hyperlink" Target="https://ibpublishing.ibo.org/server2/rest/app/tsm.xql?doc=d_2_class_gui_1402_2_e&amp;part=2&amp;chapter=1" TargetMode="External"/><Relationship Id="rId18" Type="http://schemas.openxmlformats.org/officeDocument/2006/relationships/hyperlink" Target="https://ibpublishing.ibo.org/server2/rest/app/tsm.xql?doc=d_2_class_gui_1402_2_e&amp;part=4&amp;chapter=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bpublishing.ibo.org/server2/rest/app/tsm.xql?doc=d_2_class_gui_1402_2_e&amp;part=5&amp;chapter=1" TargetMode="External"/><Relationship Id="rId7" Type="http://schemas.openxmlformats.org/officeDocument/2006/relationships/hyperlink" Target="https://ibpublishing.ibo.org/server2/rest/app/tsm.xql?doc=d_2_class_gui_1402_2_e&amp;part=1&amp;chapter=1" TargetMode="External"/><Relationship Id="rId12" Type="http://schemas.openxmlformats.org/officeDocument/2006/relationships/hyperlink" Target="https://ibpublishing.ibo.org/server2/rest/app/tsm.xql?doc=d_2_class_gui_1402_2_e&amp;part=1&amp;chapter=6" TargetMode="External"/><Relationship Id="rId17" Type="http://schemas.openxmlformats.org/officeDocument/2006/relationships/hyperlink" Target="https://ibpublishing.ibo.org/server2/rest/app/tsm.xql?doc=d_2_class_gui_1402_2_e&amp;part=4&amp;chapter=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bpublishing.ibo.org/server2/rest/app/tsm.xql?doc=d_2_class_gui_1402_2_e&amp;part=4&amp;chapter=1" TargetMode="External"/><Relationship Id="rId20" Type="http://schemas.openxmlformats.org/officeDocument/2006/relationships/hyperlink" Target="https://ibpublishing.ibo.org/server2/rest/app/tsm.xql?doc=d_2_class_gui_1402_2_e&amp;part=4&amp;chapter=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bpublishing.ibo.org/server2/rest/app/tsm.xql?doc=d_2_class_gui_1402_2_e&amp;part=1&amp;chapter=5"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bpublishing.ibo.org/server2/rest/app/tsm.xql?doc=d_2_class_gui_1402_2_e&amp;part=2&amp;chapter=3" TargetMode="External"/><Relationship Id="rId23" Type="http://schemas.openxmlformats.org/officeDocument/2006/relationships/hyperlink" Target="https://ibpublishing.ibo.org/server2/rest/app/tsm.xql?doc=d_2_class_gui_1402_2_e&amp;part=5&amp;chapter=3" TargetMode="External"/><Relationship Id="rId10" Type="http://schemas.openxmlformats.org/officeDocument/2006/relationships/hyperlink" Target="https://ibpublishing.ibo.org/server2/rest/app/tsm.xql?doc=d_2_class_gui_1402_2_e&amp;part=1&amp;chapter=4" TargetMode="External"/><Relationship Id="rId19" Type="http://schemas.openxmlformats.org/officeDocument/2006/relationships/hyperlink" Target="https://ibpublishing.ibo.org/server2/rest/app/tsm.xql?doc=d_2_class_gui_1402_2_e&amp;part=4&amp;chapter=4" TargetMode="External"/><Relationship Id="rId4" Type="http://schemas.openxmlformats.org/officeDocument/2006/relationships/webSettings" Target="webSettings.xml"/><Relationship Id="rId9" Type="http://schemas.openxmlformats.org/officeDocument/2006/relationships/hyperlink" Target="https://ibpublishing.ibo.org/server2/rest/app/tsm.xql?doc=d_2_class_gui_1402_2_e&amp;part=1&amp;chapter=3" TargetMode="External"/><Relationship Id="rId14" Type="http://schemas.openxmlformats.org/officeDocument/2006/relationships/hyperlink" Target="https://ibpublishing.ibo.org/server2/rest/app/tsm.xql?doc=d_2_class_gui_1402_2_e&amp;part=2&amp;chapter=2" TargetMode="External"/><Relationship Id="rId22" Type="http://schemas.openxmlformats.org/officeDocument/2006/relationships/hyperlink" Target="https://ibpublishing.ibo.org/server2/rest/app/tsm.xql?doc=d_2_class_gui_1402_2_e&amp;part=5&amp;chapte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5</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sperkins</dc:creator>
  <cp:keywords/>
  <dc:description/>
  <cp:lastModifiedBy>sperkins</cp:lastModifiedBy>
  <cp:revision>2</cp:revision>
  <dcterms:created xsi:type="dcterms:W3CDTF">2015-12-14T17:01:00Z</dcterms:created>
  <dcterms:modified xsi:type="dcterms:W3CDTF">2015-12-14T20:19:00Z</dcterms:modified>
</cp:coreProperties>
</file>